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color w:val="3a4888"/>
          <w:sz w:val="96"/>
          <w:szCs w:val="96"/>
        </w:rPr>
      </w:pPr>
      <w:r w:rsidDel="00000000" w:rsidR="00000000" w:rsidRPr="00000000">
        <w:rPr>
          <w:rtl w:val="0"/>
        </w:rPr>
      </w:r>
    </w:p>
    <w:p w:rsidR="00000000" w:rsidDel="00000000" w:rsidP="00000000" w:rsidRDefault="00000000" w:rsidRPr="00000000" w14:paraId="00000002">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238" name="image1.png"/>
            <a:graphic>
              <a:graphicData uri="http://schemas.openxmlformats.org/drawingml/2006/picture">
                <pic:pic>
                  <pic:nvPicPr>
                    <pic:cNvPr descr="Logo&#10;&#10;Description automatically generated" id="0" name="image1.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4"/>
          <w:szCs w:val="84"/>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23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3 – Participant Resource Package</w:t>
      </w: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ahoma" w:cs="Tahoma" w:eastAsia="Tahoma" w:hAnsi="Tahoma"/>
          <w:b w:val="0"/>
          <w:i w:val="0"/>
          <w:smallCaps w:val="0"/>
          <w:strike w:val="0"/>
          <w:color w:val="993365"/>
          <w:sz w:val="32"/>
          <w:szCs w:val="32"/>
          <w:u w:val="none"/>
          <w:shd w:fill="auto" w:val="clear"/>
          <w:vertAlign w:val="baseline"/>
        </w:rPr>
      </w:pPr>
      <w:r w:rsidDel="00000000" w:rsidR="00000000" w:rsidRPr="00000000">
        <w:rPr>
          <w:rFonts w:ascii="Tahoma" w:cs="Tahoma" w:eastAsia="Tahoma" w:hAnsi="Tahoma"/>
          <w:b w:val="0"/>
          <w:i w:val="0"/>
          <w:smallCaps w:val="0"/>
          <w:strike w:val="0"/>
          <w:color w:val="993365"/>
          <w:sz w:val="32"/>
          <w:szCs w:val="32"/>
          <w:u w:val="none"/>
          <w:shd w:fill="auto" w:val="clear"/>
          <w:vertAlign w:val="baseline"/>
          <w:rtl w:val="0"/>
        </w:rPr>
        <w:t xml:space="preserve">Table of 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3" name=""/>
                <a:graphic>
                  <a:graphicData uri="http://schemas.microsoft.com/office/word/2010/wordprocessingShape">
                    <wps:wsp>
                      <wps:cNvSpPr/>
                      <wps:cNvPr id="17" name="Shape 1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3"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354965" cy="151003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tyjcwt">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13: MEAL - From Gender Sensitive to Gender Transformative and Feminist</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xhzhe9md0t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13.1: MEAL Across the Gender Equality Spectrum</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13a: MEAL on a Gender Equality Spectrum</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13b: Oxfam’s 2017 Discussion Paper: Applying Feminist Principles to Program Monitoring, Evaluation, Accountability and Learning</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14: Quality Indicators for Gender Equality Outcomes</w:t>
              <w:tab/>
              <w:t xml:space="preserve">10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Global Affairs Canada’s RBM Guide:</w:t>
              <w:tab/>
              <w:t xml:space="preserve">10</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14a: Indicators</w:t>
              <w:tab/>
              <w:t xml:space="preserve">10</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14.1 Instructions: Quality Indicators for Gender Equality Outcomes</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15: Data Collection Tools and Sources for Gender Equality Indicators</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15.1 Instructions: Data Sources and Methodologies</w:t>
              <w:tab/>
              <w:t xml:space="preserve">13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15a: Data Sources and Data Collection Methodologies</w:t>
              <w:tab/>
              <w:t xml:space="preserve">14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16: Accountability - Data for Whom? Using GE Data to Strengthen Programming and Women’s/Girl’s Participation</w:t>
              <w:tab/>
              <w:t xml:space="preserve">15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16.1: Instructions - Downward Accountability Discussion</w:t>
              <w:tab/>
              <w:t xml:space="preserve">16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16a Accountability Discussion Support</w:t>
              <w:tab/>
              <w:t xml:space="preserve">17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questions:</w:t>
              <w:tab/>
              <w:t xml:space="preserve">17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6yk4blucv7n">
            <w:r w:rsidDel="00000000" w:rsidR="00000000" w:rsidRPr="00000000">
              <w:rPr>
                <w:rFonts w:ascii="Tahoma" w:cs="Tahoma" w:eastAsia="Tahoma" w:hAnsi="Tahoma"/>
                <w:b w:val="1"/>
                <w:i w:val="1"/>
                <w:color w:val="63763e"/>
                <w:sz w:val="22"/>
                <w:szCs w:val="22"/>
                <w:rtl w:val="0"/>
              </w:rPr>
              <w:t xml:space="preserve">Additional Session: Gender Based Analysis</w:t>
              <w:tab/>
              <w:t xml:space="preserve">18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1"/>
                <w:color w:val="3a4888"/>
                <w:sz w:val="20"/>
                <w:szCs w:val="20"/>
                <w:rtl w:val="0"/>
              </w:rPr>
              <w:t xml:space="preserve">Activity 12.1 Instructions: Gender Based Analysis</w:t>
            </w:r>
          </w:hyperlink>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2000"/>
            </w:tabs>
            <w:spacing w:after="0" w:before="60" w:line="240" w:lineRule="auto"/>
            <w:ind w:left="720" w:right="0" w:firstLine="0"/>
            <w:jc w:val="left"/>
            <w:rPr>
              <w:rFonts w:ascii="Calibri" w:cs="Calibri" w:eastAsia="Calibri" w:hAnsi="Calibri"/>
              <w:sz w:val="20"/>
              <w:szCs w:val="20"/>
            </w:rPr>
          </w:pPr>
          <w:hyperlink w:anchor="_heading=h.ihv636">
            <w:r w:rsidDel="00000000" w:rsidR="00000000" w:rsidRPr="00000000">
              <w:rPr>
                <w:rFonts w:ascii="Calibri" w:cs="Calibri" w:eastAsia="Calibri" w:hAnsi="Calibri"/>
                <w:sz w:val="20"/>
                <w:szCs w:val="20"/>
                <w:rtl w:val="0"/>
              </w:rPr>
              <w:t xml:space="preserve">Annex 12a: Gender Analysis Frameworks</w:t>
              <w:tab/>
              <w:t xml:space="preserve">20</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2000"/>
            </w:tabs>
            <w:spacing w:after="0" w:before="60" w:line="240" w:lineRule="auto"/>
            <w:ind w:left="720" w:right="0" w:firstLine="0"/>
            <w:jc w:val="left"/>
            <w:rPr>
              <w:rFonts w:ascii="Calibri" w:cs="Calibri" w:eastAsia="Calibri" w:hAnsi="Calibri"/>
              <w:sz w:val="20"/>
              <w:szCs w:val="20"/>
            </w:rPr>
          </w:pPr>
          <w:hyperlink w:anchor="_heading=h.32hioqz">
            <w:r w:rsidDel="00000000" w:rsidR="00000000" w:rsidRPr="00000000">
              <w:rPr>
                <w:rFonts w:ascii="Calibri" w:cs="Calibri" w:eastAsia="Calibri" w:hAnsi="Calibri"/>
                <w:sz w:val="20"/>
                <w:szCs w:val="20"/>
                <w:rtl w:val="0"/>
              </w:rPr>
              <w:t xml:space="preserve">Annex 12b: Gender Analysis Domains</w:t>
              <w:tab/>
              <w:t xml:space="preserve">22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sz w:val="20"/>
                <w:szCs w:val="20"/>
                <w:rtl w:val="0"/>
              </w:rPr>
              <w:t xml:space="preserve">Annex 12c: Gender Analysis Resources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2"/>
        <w:rPr/>
      </w:pPr>
      <w:r w:rsidDel="00000000" w:rsidR="00000000" w:rsidRPr="00000000">
        <w:rPr>
          <w:rtl w:val="0"/>
        </w:rPr>
      </w:r>
    </w:p>
    <w:p w:rsidR="00000000" w:rsidDel="00000000" w:rsidP="00000000" w:rsidRDefault="00000000" w:rsidRPr="00000000" w14:paraId="00000025">
      <w:pPr>
        <w:rPr>
          <w:rFonts w:ascii="Tahoma" w:cs="Tahoma" w:eastAsia="Tahoma" w:hAnsi="Tahoma"/>
        </w:rPr>
      </w:pPr>
      <w:r w:rsidDel="00000000" w:rsidR="00000000" w:rsidRPr="00000000">
        <w:rPr>
          <w:rtl w:val="0"/>
        </w:rPr>
      </w:r>
    </w:p>
    <w:p w:rsidR="00000000" w:rsidDel="00000000" w:rsidP="00000000" w:rsidRDefault="00000000" w:rsidRPr="00000000" w14:paraId="00000026">
      <w:pPr>
        <w:rPr>
          <w:rFonts w:ascii="Tahoma" w:cs="Tahoma" w:eastAsia="Tahoma" w:hAnsi="Tahoma"/>
        </w:rPr>
      </w:pPr>
      <w:r w:rsidDel="00000000" w:rsidR="00000000" w:rsidRPr="00000000">
        <w:rPr>
          <w:rtl w:val="0"/>
        </w:rPr>
      </w:r>
    </w:p>
    <w:tbl>
      <w:tblPr>
        <w:tblStyle w:val="Table1"/>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76" w:hRule="atLeast"/>
          <w:tblHeader w:val="0"/>
        </w:trPr>
        <w:tc>
          <w:tcPr>
            <w:shd w:fill="63763e" w:val="clear"/>
          </w:tcPr>
          <w:p w:rsidR="00000000" w:rsidDel="00000000" w:rsidP="00000000" w:rsidRDefault="00000000" w:rsidRPr="00000000" w14:paraId="00000027">
            <w:pPr>
              <w:pStyle w:val="Heading1"/>
              <w:rPr/>
            </w:pPr>
            <w:bookmarkStart w:colFirst="0" w:colLast="0" w:name="_heading=h.tyjcwt" w:id="0"/>
            <w:bookmarkEnd w:id="0"/>
            <w:r w:rsidDel="00000000" w:rsidR="00000000" w:rsidRPr="00000000">
              <w:rPr>
                <w:rtl w:val="0"/>
              </w:rPr>
              <w:t xml:space="preserve">Session 13: MEAL - From Gender Sensitive to Gender Transformative and Feminist</w:t>
            </w:r>
          </w:p>
        </w:tc>
      </w:tr>
    </w:tbl>
    <w:p w:rsidR="00000000" w:rsidDel="00000000" w:rsidP="00000000" w:rsidRDefault="00000000" w:rsidRPr="00000000" w14:paraId="00000028">
      <w:pPr>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4" name=""/>
                <a:graphic>
                  <a:graphicData uri="http://schemas.microsoft.com/office/word/2010/wordprocessingShape">
                    <wps:wsp>
                      <wps:cNvSpPr/>
                      <wps:cNvPr id="8" name="Shape 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4"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354965" cy="1510030"/>
                        </a:xfrm>
                        <a:prstGeom prst="rect"/>
                        <a:ln/>
                      </pic:spPr>
                    </pic:pic>
                  </a:graphicData>
                </a:graphic>
              </wp:anchor>
            </w:drawing>
          </mc:Fallback>
        </mc:AlternateContent>
      </w:r>
    </w:p>
    <w:tbl>
      <w:tblPr>
        <w:tblStyle w:val="Table2"/>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38"/>
        <w:gridCol w:w="11112"/>
        <w:tblGridChange w:id="0">
          <w:tblGrid>
            <w:gridCol w:w="1838"/>
            <w:gridCol w:w="11112"/>
          </w:tblGrid>
        </w:tblGridChange>
      </w:tblGrid>
      <w:tr>
        <w:trPr>
          <w:cantSplit w:val="0"/>
          <w:tblHeader w:val="0"/>
        </w:trPr>
        <w:tc>
          <w:tcPr>
            <w:shd w:fill="3a4888" w:val="clear"/>
          </w:tcPr>
          <w:p w:rsidR="00000000" w:rsidDel="00000000" w:rsidP="00000000" w:rsidRDefault="00000000" w:rsidRPr="00000000" w14:paraId="00000029">
            <w:pPr>
              <w:spacing w:line="276" w:lineRule="auto"/>
              <w:jc w:val="right"/>
              <w:rPr>
                <w:rFonts w:ascii="Tahoma" w:cs="Tahoma" w:eastAsia="Tahoma" w:hAnsi="Tahoma"/>
                <w:b w:val="1"/>
                <w:color w:val="ffffff"/>
                <w:sz w:val="20"/>
                <w:szCs w:val="20"/>
              </w:rPr>
            </w:pPr>
            <w:r w:rsidDel="00000000" w:rsidR="00000000" w:rsidRPr="00000000">
              <w:rPr>
                <w:rtl w:val="0"/>
              </w:rPr>
            </w:r>
          </w:p>
          <w:p w:rsidR="00000000" w:rsidDel="00000000" w:rsidP="00000000" w:rsidRDefault="00000000" w:rsidRPr="00000000" w14:paraId="0000002A">
            <w:pPr>
              <w:spacing w:line="276" w:lineRule="auto"/>
              <w:jc w:val="right"/>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Monitoring</w:t>
            </w:r>
          </w:p>
        </w:tc>
        <w:tc>
          <w:tcPr>
            <w:shd w:fill="f2f2f2" w:val="clear"/>
          </w:tcPr>
          <w:p w:rsidR="00000000" w:rsidDel="00000000" w:rsidP="00000000" w:rsidRDefault="00000000" w:rsidRPr="00000000" w14:paraId="0000002B">
            <w:pPr>
              <w:tabs>
                <w:tab w:val="left" w:leader="none" w:pos="1732"/>
              </w:tabs>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C">
            <w:pPr>
              <w:tabs>
                <w:tab w:val="left" w:leader="none" w:pos="1732"/>
              </w:tabs>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is normally the systematic assessment of a programme’s performance over time. It involves the ongoing collection and review of data to provide programme managers and other stakeholders with indications of progress against programme plans and towards programme objectives.</w:t>
            </w:r>
            <w:r w:rsidDel="00000000" w:rsidR="00000000" w:rsidRPr="00000000">
              <w:rPr>
                <w:rFonts w:ascii="Tahoma" w:cs="Tahoma" w:eastAsia="Tahoma" w:hAnsi="Tahoma"/>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2D">
            <w:pPr>
              <w:tabs>
                <w:tab w:val="left" w:leader="none" w:pos="1732"/>
              </w:tabs>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3a4888" w:val="clear"/>
          </w:tcPr>
          <w:p w:rsidR="00000000" w:rsidDel="00000000" w:rsidP="00000000" w:rsidRDefault="00000000" w:rsidRPr="00000000" w14:paraId="0000002E">
            <w:pPr>
              <w:spacing w:line="276" w:lineRule="auto"/>
              <w:jc w:val="right"/>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Evaluation</w:t>
            </w:r>
          </w:p>
        </w:tc>
        <w:tc>
          <w:tcPr>
            <w:shd w:fill="f2f2f2" w:val="clear"/>
          </w:tcPr>
          <w:p w:rsidR="00000000" w:rsidDel="00000000" w:rsidP="00000000" w:rsidRDefault="00000000" w:rsidRPr="00000000" w14:paraId="0000002F">
            <w:pPr>
              <w:tabs>
                <w:tab w:val="left" w:leader="none" w:pos="2807"/>
              </w:tabs>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takes place at a particular point in time but complements ongoing monitoring activities by providing more in depth, objective assessments of the relevance, efficiency, effectiveness, impact and sustainability of programmes. Formative evaluations are carried out during the life of the programme with a focus on improvement; summative evaluations take place towards the end of the programme and are used to judge its overall merit, worth or effectiveness.</w:t>
            </w:r>
          </w:p>
          <w:p w:rsidR="00000000" w:rsidDel="00000000" w:rsidP="00000000" w:rsidRDefault="00000000" w:rsidRPr="00000000" w14:paraId="00000030">
            <w:pPr>
              <w:tabs>
                <w:tab w:val="left" w:leader="none" w:pos="2807"/>
              </w:tabs>
              <w:spacing w:line="276" w:lineRule="auto"/>
              <w:rPr>
                <w:rFonts w:ascii="Tahoma" w:cs="Tahoma" w:eastAsia="Tahoma" w:hAnsi="Tahoma"/>
                <w:b w:val="1"/>
                <w:sz w:val="20"/>
                <w:szCs w:val="20"/>
              </w:rPr>
            </w:pPr>
            <w:r w:rsidDel="00000000" w:rsidR="00000000" w:rsidRPr="00000000">
              <w:rPr>
                <w:rtl w:val="0"/>
              </w:rPr>
            </w:r>
          </w:p>
        </w:tc>
      </w:tr>
      <w:tr>
        <w:trPr>
          <w:cantSplit w:val="0"/>
          <w:tblHeader w:val="0"/>
        </w:trPr>
        <w:tc>
          <w:tcPr>
            <w:shd w:fill="3a4888" w:val="clear"/>
          </w:tcPr>
          <w:p w:rsidR="00000000" w:rsidDel="00000000" w:rsidP="00000000" w:rsidRDefault="00000000" w:rsidRPr="00000000" w14:paraId="00000031">
            <w:pPr>
              <w:spacing w:line="276" w:lineRule="auto"/>
              <w:jc w:val="right"/>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Accountability</w:t>
            </w:r>
          </w:p>
        </w:tc>
        <w:tc>
          <w:tcPr>
            <w:shd w:fill="f2f2f2" w:val="clear"/>
          </w:tcPr>
          <w:p w:rsidR="00000000" w:rsidDel="00000000" w:rsidP="00000000" w:rsidRDefault="00000000" w:rsidRPr="00000000" w14:paraId="00000032">
            <w:pPr>
              <w:tabs>
                <w:tab w:val="left" w:leader="none" w:pos="4211"/>
              </w:tabs>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33">
            <w:pPr>
              <w:tabs>
                <w:tab w:val="left" w:leader="none" w:pos="4211"/>
              </w:tabs>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3a4888" w:val="clear"/>
          </w:tcPr>
          <w:p w:rsidR="00000000" w:rsidDel="00000000" w:rsidP="00000000" w:rsidRDefault="00000000" w:rsidRPr="00000000" w14:paraId="00000034">
            <w:pPr>
              <w:spacing w:line="276" w:lineRule="auto"/>
              <w:jc w:val="right"/>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Learning</w:t>
            </w:r>
          </w:p>
        </w:tc>
        <w:tc>
          <w:tcPr>
            <w:shd w:fill="f2f2f2" w:val="clear"/>
          </w:tcPr>
          <w:p w:rsidR="00000000" w:rsidDel="00000000" w:rsidP="00000000" w:rsidRDefault="00000000" w:rsidRPr="00000000" w14:paraId="0000003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activities are deliberate efforts to use project data (qualitative/quantitative/formal/informal/observational) to reflect on and improve upon programmatic and operational approaches.  This often involves specific research initiatives.</w:t>
            </w:r>
          </w:p>
          <w:p w:rsidR="00000000" w:rsidDel="00000000" w:rsidP="00000000" w:rsidRDefault="00000000" w:rsidRPr="00000000" w14:paraId="00000036">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38">
      <w:pPr>
        <w:rPr>
          <w:rFonts w:ascii="Tahoma" w:cs="Tahoma" w:eastAsia="Tahoma" w:hAnsi="Tahoma"/>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3"/>
        <w:rPr/>
      </w:pPr>
      <w:bookmarkStart w:colFirst="0" w:colLast="0" w:name="_heading=h.wxhzhe9md0tz" w:id="1"/>
      <w:bookmarkEnd w:id="1"/>
      <w:r w:rsidDel="00000000" w:rsidR="00000000" w:rsidRPr="00000000">
        <w:rPr>
          <w:rtl w:val="0"/>
        </w:rPr>
        <w:t xml:space="preserve">Activity 13.1: MEAL Across the Gender Equality Spectrum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1" name=""/>
                <a:graphic>
                  <a:graphicData uri="http://schemas.microsoft.com/office/word/2010/wordprocessingShape">
                    <wps:wsp>
                      <wps:cNvSpPr/>
                      <wps:cNvPr id="15" name="Shape 1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1"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3B">
      <w:pPr>
        <w:rPr>
          <w:rFonts w:ascii="Tahoma" w:cs="Tahoma" w:eastAsia="Tahoma" w:hAnsi="Tahoma"/>
          <w:color w:val="00796b"/>
          <w:sz w:val="20"/>
          <w:szCs w:val="20"/>
        </w:rPr>
      </w:pPr>
      <w:r w:rsidDel="00000000" w:rsidR="00000000" w:rsidRPr="00000000">
        <w:rPr>
          <w:rtl w:val="0"/>
        </w:rPr>
      </w:r>
    </w:p>
    <w:p w:rsidR="00000000" w:rsidDel="00000000" w:rsidP="00000000" w:rsidRDefault="00000000" w:rsidRPr="00000000" w14:paraId="0000003C">
      <w:pPr>
        <w:numPr>
          <w:ilvl w:val="0"/>
          <w:numId w:val="4"/>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this activity, you are split into 3 groups (break-out rooms). Please see your group assignments below. </w:t>
      </w:r>
    </w:p>
    <w:tbl>
      <w:tblPr>
        <w:tblStyle w:val="Table3"/>
        <w:tblW w:w="1294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5"/>
        <w:gridCol w:w="4320"/>
        <w:gridCol w:w="4320"/>
        <w:tblGridChange w:id="0">
          <w:tblGrid>
            <w:gridCol w:w="4305"/>
            <w:gridCol w:w="4320"/>
            <w:gridCol w:w="43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03D">
            <w:pPr>
              <w:jc w:val="center"/>
              <w:rPr>
                <w:rFonts w:ascii="Tahoma" w:cs="Tahoma" w:eastAsia="Tahoma" w:hAnsi="Tahoma"/>
                <w:b w:val="1"/>
                <w:color w:val="ffffff"/>
                <w:sz w:val="22"/>
                <w:szCs w:val="22"/>
              </w:rPr>
            </w:pPr>
            <w:r w:rsidDel="00000000" w:rsidR="00000000" w:rsidRPr="00000000">
              <w:rPr>
                <w:rtl w:val="0"/>
              </w:rPr>
            </w:r>
          </w:p>
          <w:p w:rsidR="00000000" w:rsidDel="00000000" w:rsidP="00000000" w:rsidRDefault="00000000" w:rsidRPr="00000000" w14:paraId="0000003E">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Group 1: Evaluation</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03F">
            <w:pPr>
              <w:jc w:val="center"/>
              <w:rPr>
                <w:rFonts w:ascii="Tahoma" w:cs="Tahoma" w:eastAsia="Tahoma" w:hAnsi="Tahoma"/>
                <w:b w:val="1"/>
                <w:color w:val="ffffff"/>
                <w:sz w:val="22"/>
                <w:szCs w:val="22"/>
              </w:rPr>
            </w:pPr>
            <w:r w:rsidDel="00000000" w:rsidR="00000000" w:rsidRPr="00000000">
              <w:rPr>
                <w:rtl w:val="0"/>
              </w:rPr>
            </w:r>
          </w:p>
          <w:p w:rsidR="00000000" w:rsidDel="00000000" w:rsidP="00000000" w:rsidRDefault="00000000" w:rsidRPr="00000000" w14:paraId="00000040">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Group 2: Accountability</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041">
            <w:pPr>
              <w:jc w:val="center"/>
              <w:rPr>
                <w:rFonts w:ascii="Tahoma" w:cs="Tahoma" w:eastAsia="Tahoma" w:hAnsi="Tahoma"/>
                <w:b w:val="1"/>
                <w:color w:val="ffffff"/>
                <w:sz w:val="22"/>
                <w:szCs w:val="22"/>
              </w:rPr>
            </w:pPr>
            <w:r w:rsidDel="00000000" w:rsidR="00000000" w:rsidRPr="00000000">
              <w:rPr>
                <w:rtl w:val="0"/>
              </w:rPr>
            </w:r>
          </w:p>
          <w:p w:rsidR="00000000" w:rsidDel="00000000" w:rsidP="00000000" w:rsidRDefault="00000000" w:rsidRPr="00000000" w14:paraId="00000042">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Group 3: Learning</w:t>
            </w:r>
          </w:p>
          <w:p w:rsidR="00000000" w:rsidDel="00000000" w:rsidP="00000000" w:rsidRDefault="00000000" w:rsidRPr="00000000" w14:paraId="00000043">
            <w:pPr>
              <w:jc w:val="center"/>
              <w:rPr>
                <w:rFonts w:ascii="Tahoma" w:cs="Tahoma" w:eastAsia="Tahoma" w:hAnsi="Tahoma"/>
                <w:b w:val="1"/>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44">
            <w:pPr>
              <w:tabs>
                <w:tab w:val="left" w:leader="none" w:pos="2643"/>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5">
            <w:pPr>
              <w:tabs>
                <w:tab w:val="left" w:leader="none" w:pos="2643"/>
              </w:tabs>
              <w:rPr>
                <w:rFonts w:ascii="Tahoma" w:cs="Tahoma" w:eastAsia="Tahoma" w:hAnsi="Tahoma"/>
                <w:b w:val="1"/>
                <w:color w:val="ff0000"/>
                <w:sz w:val="20"/>
                <w:szCs w:val="20"/>
              </w:rPr>
            </w:pPr>
            <w:r w:rsidDel="00000000" w:rsidR="00000000" w:rsidRPr="00000000">
              <w:rPr>
                <w:rFonts w:ascii="Tahoma" w:cs="Tahoma" w:eastAsia="Tahoma" w:hAnsi="Tahoma"/>
                <w:b w:val="1"/>
                <w:sz w:val="20"/>
                <w:szCs w:val="20"/>
                <w:rtl w:val="0"/>
              </w:rPr>
              <w:t xml:space="preserve">Google Doc Link: </w:t>
            </w:r>
            <w:r w:rsidDel="00000000" w:rsidR="00000000" w:rsidRPr="00000000">
              <w:rPr>
                <w:rFonts w:ascii="Tahoma" w:cs="Tahoma" w:eastAsia="Tahoma" w:hAnsi="Tahoma"/>
                <w:color w:val="ff0000"/>
                <w:sz w:val="20"/>
                <w:szCs w:val="20"/>
                <w:rtl w:val="0"/>
              </w:rPr>
              <w:t xml:space="preserve">[insert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4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7">
            <w:pPr>
              <w:rPr>
                <w:rFonts w:ascii="Tahoma" w:cs="Tahoma" w:eastAsia="Tahoma" w:hAnsi="Tahoma"/>
                <w:b w:val="1"/>
                <w:color w:val="ff0000"/>
                <w:sz w:val="20"/>
                <w:szCs w:val="20"/>
              </w:rPr>
            </w:pPr>
            <w:r w:rsidDel="00000000" w:rsidR="00000000" w:rsidRPr="00000000">
              <w:rPr>
                <w:rFonts w:ascii="Tahoma" w:cs="Tahoma" w:eastAsia="Tahoma" w:hAnsi="Tahoma"/>
                <w:b w:val="1"/>
                <w:sz w:val="20"/>
                <w:szCs w:val="20"/>
                <w:rtl w:val="0"/>
              </w:rPr>
              <w:t xml:space="preserve">Google Doc Link: </w:t>
            </w:r>
            <w:r w:rsidDel="00000000" w:rsidR="00000000" w:rsidRPr="00000000">
              <w:rPr>
                <w:rFonts w:ascii="Tahoma" w:cs="Tahoma" w:eastAsia="Tahoma" w:hAnsi="Tahoma"/>
                <w:color w:val="ff0000"/>
                <w:sz w:val="20"/>
                <w:szCs w:val="20"/>
                <w:rtl w:val="0"/>
              </w:rPr>
              <w:t xml:space="preserve">[insert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4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9">
            <w:pPr>
              <w:rPr>
                <w:rFonts w:ascii="Tahoma" w:cs="Tahoma" w:eastAsia="Tahoma" w:hAnsi="Tahoma"/>
                <w:color w:val="ff0000"/>
                <w:sz w:val="20"/>
                <w:szCs w:val="20"/>
              </w:rPr>
            </w:pPr>
            <w:r w:rsidDel="00000000" w:rsidR="00000000" w:rsidRPr="00000000">
              <w:rPr>
                <w:rFonts w:ascii="Tahoma" w:cs="Tahoma" w:eastAsia="Tahoma" w:hAnsi="Tahoma"/>
                <w:b w:val="1"/>
                <w:sz w:val="20"/>
                <w:szCs w:val="20"/>
                <w:rtl w:val="0"/>
              </w:rPr>
              <w:t xml:space="preserve">Google Doc Link: </w:t>
            </w:r>
            <w:r w:rsidDel="00000000" w:rsidR="00000000" w:rsidRPr="00000000">
              <w:rPr>
                <w:rFonts w:ascii="Tahoma" w:cs="Tahoma" w:eastAsia="Tahoma" w:hAnsi="Tahoma"/>
                <w:color w:val="ff0000"/>
                <w:sz w:val="20"/>
                <w:szCs w:val="20"/>
                <w:rtl w:val="0"/>
              </w:rPr>
              <w:t xml:space="preserve">[insert link]</w:t>
            </w:r>
          </w:p>
          <w:p w:rsidR="00000000" w:rsidDel="00000000" w:rsidP="00000000" w:rsidRDefault="00000000" w:rsidRPr="00000000" w14:paraId="0000004A">
            <w:pPr>
              <w:rPr>
                <w:rFonts w:ascii="Tahoma" w:cs="Tahoma" w:eastAsia="Tahoma" w:hAnsi="Tahoma"/>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4B">
            <w:pPr>
              <w:ind w:left="72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4C">
            <w:pPr>
              <w:numPr>
                <w:ilvl w:val="0"/>
                <w:numId w:val="48"/>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Insert participant names </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4D">
            <w:pPr>
              <w:ind w:left="72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4E">
            <w:pPr>
              <w:numPr>
                <w:ilvl w:val="0"/>
                <w:numId w:val="48"/>
              </w:numPr>
              <w:ind w:left="720" w:hanging="360"/>
              <w:jc w:val="both"/>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Insert participant names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4F">
            <w:pPr>
              <w:ind w:left="72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0">
            <w:pPr>
              <w:numPr>
                <w:ilvl w:val="0"/>
                <w:numId w:val="48"/>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Insert participant names</w:t>
            </w:r>
          </w:p>
          <w:p w:rsidR="00000000" w:rsidDel="00000000" w:rsidP="00000000" w:rsidRDefault="00000000" w:rsidRPr="00000000" w14:paraId="00000051">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2">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3">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4">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5">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6">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7">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8">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9">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A">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B">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C">
            <w:pPr>
              <w:rPr>
                <w:rFonts w:ascii="Tahoma" w:cs="Tahoma" w:eastAsia="Tahoma" w:hAnsi="Tahoma"/>
                <w:i w:val="1"/>
                <w:sz w:val="20"/>
                <w:szCs w:val="20"/>
              </w:rPr>
            </w:pPr>
            <w:r w:rsidDel="00000000" w:rsidR="00000000" w:rsidRPr="00000000">
              <w:rPr>
                <w:rtl w:val="0"/>
              </w:rPr>
            </w:r>
          </w:p>
        </w:tc>
      </w:tr>
    </w:tbl>
    <w:p w:rsidR="00000000" w:rsidDel="00000000" w:rsidP="00000000" w:rsidRDefault="00000000" w:rsidRPr="00000000" w14:paraId="0000005D">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E">
      <w:pPr>
        <w:numPr>
          <w:ilvl w:val="0"/>
          <w:numId w:val="4"/>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On your Google Doc link, you will find a table (similar to the one shown on the PowerPoint screen), with the top row (monitoring) filled out already. </w:t>
      </w:r>
    </w:p>
    <w:p w:rsidR="00000000" w:rsidDel="00000000" w:rsidP="00000000" w:rsidRDefault="00000000" w:rsidRPr="00000000" w14:paraId="0000005F">
      <w:pPr>
        <w:numPr>
          <w:ilvl w:val="0"/>
          <w:numId w:val="4"/>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group, you are to fill in the cells of this table with the characteristics that you think the component of MEAL you’re assigned (evaluation, accountability or learning) would have across the Gender Equality Spectrum. </w:t>
      </w:r>
      <w:r w:rsidDel="00000000" w:rsidR="00000000" w:rsidRPr="00000000">
        <w:rPr>
          <w:rtl w:val="0"/>
        </w:rPr>
      </w:r>
    </w:p>
    <w:p w:rsidR="00000000" w:rsidDel="00000000" w:rsidP="00000000" w:rsidRDefault="00000000" w:rsidRPr="00000000" w14:paraId="00000060">
      <w:pPr>
        <w:numPr>
          <w:ilvl w:val="0"/>
          <w:numId w:val="4"/>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Think about the process and consider the MEAL outcomes and process. You will have about </w:t>
      </w:r>
      <w:r w:rsidDel="00000000" w:rsidR="00000000" w:rsidRPr="00000000">
        <w:rPr>
          <w:rFonts w:ascii="Tahoma" w:cs="Tahoma" w:eastAsia="Tahoma" w:hAnsi="Tahoma"/>
          <w:b w:val="1"/>
          <w:sz w:val="20"/>
          <w:szCs w:val="20"/>
          <w:rtl w:val="0"/>
        </w:rPr>
        <w:t xml:space="preserve">20 minutes</w:t>
      </w:r>
      <w:r w:rsidDel="00000000" w:rsidR="00000000" w:rsidRPr="00000000">
        <w:rPr>
          <w:rFonts w:ascii="Tahoma" w:cs="Tahoma" w:eastAsia="Tahoma" w:hAnsi="Tahoma"/>
          <w:sz w:val="20"/>
          <w:szCs w:val="20"/>
          <w:rtl w:val="0"/>
        </w:rPr>
        <w:t xml:space="preserve"> to complete your grid.</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pPr>
      <w:bookmarkStart w:colFirst="0" w:colLast="0" w:name="_heading=h.n02cv9f634bt" w:id="2"/>
      <w:bookmarkEnd w:id="2"/>
      <w:r w:rsidDel="00000000" w:rsidR="00000000" w:rsidRPr="00000000">
        <w:rPr>
          <w:rtl w:val="0"/>
        </w:rPr>
      </w:r>
    </w:p>
    <w:p w:rsidR="00000000" w:rsidDel="00000000" w:rsidP="00000000" w:rsidRDefault="00000000" w:rsidRPr="00000000" w14:paraId="00000063">
      <w:pPr>
        <w:pStyle w:val="Heading3"/>
        <w:rPr/>
      </w:pPr>
      <w:bookmarkStart w:colFirst="0" w:colLast="0" w:name="_heading=h.z422s3dsyp8x" w:id="3"/>
      <w:bookmarkEnd w:id="3"/>
      <w:r w:rsidDel="00000000" w:rsidR="00000000" w:rsidRPr="00000000">
        <w:rPr>
          <w:rtl w:val="0"/>
        </w:rPr>
      </w:r>
    </w:p>
    <w:p w:rsidR="00000000" w:rsidDel="00000000" w:rsidP="00000000" w:rsidRDefault="00000000" w:rsidRPr="00000000" w14:paraId="00000064">
      <w:pPr>
        <w:pStyle w:val="Heading3"/>
        <w:rPr/>
      </w:pPr>
      <w:bookmarkStart w:colFirst="0" w:colLast="0" w:name="_heading=h.1t3h5sf" w:id="4"/>
      <w:bookmarkEnd w:id="4"/>
      <w:r w:rsidDel="00000000" w:rsidR="00000000" w:rsidRPr="00000000">
        <w:rPr>
          <w:rtl w:val="0"/>
        </w:rPr>
        <w:t xml:space="preserve">Annex 13a: MEAL on a Gender Equality Spectrum</w:t>
      </w:r>
    </w:p>
    <w:p w:rsidR="00000000" w:rsidDel="00000000" w:rsidP="00000000" w:rsidRDefault="00000000" w:rsidRPr="00000000" w14:paraId="00000065">
      <w:pPr>
        <w:rPr>
          <w:rFonts w:ascii="Tahoma" w:cs="Tahoma" w:eastAsia="Tahoma" w:hAnsi="Tahoma"/>
        </w:rPr>
      </w:pPr>
      <w:r w:rsidDel="00000000" w:rsidR="00000000" w:rsidRPr="00000000">
        <w:rPr>
          <w:rtl w:val="0"/>
        </w:rPr>
      </w:r>
    </w:p>
    <w:tbl>
      <w:tblPr>
        <w:tblStyle w:val="Table4"/>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4"/>
        <w:gridCol w:w="3816"/>
        <w:gridCol w:w="3875"/>
        <w:gridCol w:w="3955"/>
        <w:tblGridChange w:id="0">
          <w:tblGrid>
            <w:gridCol w:w="1314"/>
            <w:gridCol w:w="3816"/>
            <w:gridCol w:w="3875"/>
            <w:gridCol w:w="3955"/>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066">
            <w:pPr>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right"/>
              <w:rPr/>
            </w:pPr>
            <w:r w:rsidDel="00000000" w:rsidR="00000000" w:rsidRPr="00000000">
              <w:rPr>
                <w:rFonts w:ascii="Tahoma" w:cs="Tahoma" w:eastAsia="Tahoma" w:hAnsi="Tahoma"/>
                <w:b w:val="1"/>
                <w:color w:val="3a4888"/>
                <w:sz w:val="20"/>
                <w:szCs w:val="20"/>
                <w:rtl w:val="0"/>
              </w:rPr>
              <w:t xml:space="preserve">Monitoring</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70">
            <w:pPr>
              <w:rPr/>
            </w:pPr>
            <w:r w:rsidDel="00000000" w:rsidR="00000000" w:rsidRPr="00000000">
              <w:rPr>
                <w:rtl w:val="0"/>
              </w:rPr>
              <w:br w:type="textWrapping"/>
            </w:r>
          </w:p>
          <w:p w:rsidR="00000000" w:rsidDel="00000000" w:rsidP="00000000" w:rsidRDefault="00000000" w:rsidRPr="00000000" w14:paraId="00000071">
            <w:pPr>
              <w:numPr>
                <w:ilvl w:val="0"/>
                <w:numId w:val="42"/>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Monitors female and male beneficiaries and stakeholders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8"/>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4">
            <w:pPr>
              <w:numPr>
                <w:ilvl w:val="0"/>
                <w:numId w:val="53"/>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Captures and organizes data disaggregated by sex/age</w:t>
            </w:r>
          </w:p>
          <w:p w:rsidR="00000000" w:rsidDel="00000000" w:rsidP="00000000" w:rsidRDefault="00000000" w:rsidRPr="00000000" w14:paraId="00000075">
            <w:pPr>
              <w:rPr/>
            </w:pP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76">
            <w:pPr>
              <w:rPr/>
            </w:pPr>
            <w:r w:rsidDel="00000000" w:rsidR="00000000" w:rsidRPr="00000000">
              <w:rPr>
                <w:rtl w:val="0"/>
              </w:rPr>
              <w:br w:type="textWrapping"/>
            </w:r>
          </w:p>
          <w:p w:rsidR="00000000" w:rsidDel="00000000" w:rsidP="00000000" w:rsidRDefault="00000000" w:rsidRPr="00000000" w14:paraId="00000077">
            <w:pPr>
              <w:numPr>
                <w:ilvl w:val="0"/>
                <w:numId w:val="71"/>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Monitors female and male beneficiaries and stakeholders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8">
            <w:pPr>
              <w:numPr>
                <w:ilvl w:val="0"/>
                <w:numId w:val="26"/>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9">
            <w:pPr>
              <w:numPr>
                <w:ilvl w:val="0"/>
                <w:numId w:val="1"/>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Captures and organizes data disaggregated by sex/age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29"/>
              </w:numPr>
              <w:ind w:left="404"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Monitors gender-based differences between participation in and benefit from intervention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numPr>
                <w:ilvl w:val="0"/>
                <w:numId w:val="44"/>
              </w:numPr>
              <w:ind w:left="404" w:hanging="360"/>
              <w:rPr>
                <w:rFonts w:ascii="Tahoma" w:cs="Tahoma" w:eastAsia="Tahoma" w:hAnsi="Tahoma"/>
                <w:sz w:val="18"/>
                <w:szCs w:val="18"/>
              </w:rPr>
            </w:pPr>
            <w:r w:rsidDel="00000000" w:rsidR="00000000" w:rsidRPr="00000000">
              <w:rPr>
                <w:rFonts w:ascii="Tahoma" w:cs="Tahoma" w:eastAsia="Tahoma" w:hAnsi="Tahoma"/>
                <w:color w:val="c00000"/>
                <w:sz w:val="18"/>
                <w:szCs w:val="18"/>
                <w:rtl w:val="0"/>
              </w:rPr>
              <w:t xml:space="preserve">Ensures meaningful participation of women and girls in monitoring activities</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7E">
            <w:pPr>
              <w:rPr/>
            </w:pPr>
            <w:r w:rsidDel="00000000" w:rsidR="00000000" w:rsidRPr="00000000">
              <w:rPr>
                <w:rtl w:val="0"/>
              </w:rPr>
              <w:br w:type="textWrapping"/>
            </w:r>
          </w:p>
          <w:p w:rsidR="00000000" w:rsidDel="00000000" w:rsidP="00000000" w:rsidRDefault="00000000" w:rsidRPr="00000000" w14:paraId="0000007F">
            <w:pPr>
              <w:numPr>
                <w:ilvl w:val="0"/>
                <w:numId w:val="27"/>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Monitors female and male beneficiaries and stakeholders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80">
            <w:pPr>
              <w:numPr>
                <w:ilvl w:val="0"/>
                <w:numId w:val="20"/>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numPr>
                <w:ilvl w:val="0"/>
                <w:numId w:val="33"/>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Captures and organizes data disaggregated by sex/age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83">
            <w:pPr>
              <w:numPr>
                <w:ilvl w:val="0"/>
                <w:numId w:val="30"/>
              </w:numPr>
              <w:ind w:left="404"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Monitors gender-based differences between participation in and benefit from intervention</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28"/>
              </w:numPr>
              <w:ind w:left="404"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Ensures meaningful participation of women and girls in monitoring activities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numPr>
                <w:ilvl w:val="0"/>
                <w:numId w:val="57"/>
              </w:numPr>
              <w:ind w:left="404"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Co-designs monitoring activities with women and girl participants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15"/>
              </w:numPr>
              <w:ind w:left="404"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Ensures the use of monitoring tools that capture individual and experiential data</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numPr>
                <w:ilvl w:val="0"/>
                <w:numId w:val="46"/>
              </w:numPr>
              <w:ind w:left="404" w:hanging="360"/>
              <w:rPr>
                <w:rFonts w:ascii="Tahoma" w:cs="Tahoma" w:eastAsia="Tahoma" w:hAnsi="Tahoma"/>
                <w:color w:val="538135"/>
                <w:sz w:val="18"/>
                <w:szCs w:val="18"/>
              </w:rPr>
            </w:pPr>
            <w:r w:rsidDel="00000000" w:rsidR="00000000" w:rsidRPr="00000000">
              <w:rPr>
                <w:rFonts w:ascii="Tahoma" w:cs="Tahoma" w:eastAsia="Tahoma" w:hAnsi="Tahoma"/>
                <w:color w:val="385623"/>
                <w:sz w:val="18"/>
                <w:szCs w:val="18"/>
                <w:rtl w:val="0"/>
              </w:rPr>
              <w:t xml:space="preserve">Uses monitoring activities that are empowering in and of themselves</w:t>
            </w:r>
            <w:r w:rsidDel="00000000" w:rsidR="00000000" w:rsidRPr="00000000">
              <w:rPr>
                <w:rtl w:val="0"/>
              </w:rPr>
            </w:r>
          </w:p>
        </w:tc>
      </w:tr>
    </w:tbl>
    <w:p w:rsidR="00000000" w:rsidDel="00000000" w:rsidP="00000000" w:rsidRDefault="00000000" w:rsidRPr="00000000" w14:paraId="0000008C">
      <w:pPr>
        <w:spacing w:after="240" w:lineRule="auto"/>
        <w:rPr/>
      </w:pPr>
      <w:r w:rsidDel="00000000" w:rsidR="00000000" w:rsidRPr="00000000">
        <w:rPr>
          <w:rtl w:val="0"/>
        </w:rPr>
      </w:r>
    </w:p>
    <w:p w:rsidR="00000000" w:rsidDel="00000000" w:rsidP="00000000" w:rsidRDefault="00000000" w:rsidRPr="00000000" w14:paraId="0000008D">
      <w:pPr>
        <w:spacing w:after="240" w:lineRule="auto"/>
        <w:rPr/>
      </w:pPr>
      <w:r w:rsidDel="00000000" w:rsidR="00000000" w:rsidRPr="00000000">
        <w:rPr>
          <w:rtl w:val="0"/>
        </w:rPr>
      </w:r>
    </w:p>
    <w:tbl>
      <w:tblPr>
        <w:tblStyle w:val="Table5"/>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4036"/>
        <w:gridCol w:w="3641"/>
        <w:gridCol w:w="4005"/>
        <w:tblGridChange w:id="0">
          <w:tblGrid>
            <w:gridCol w:w="1278"/>
            <w:gridCol w:w="4036"/>
            <w:gridCol w:w="3641"/>
            <w:gridCol w:w="4005"/>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08E">
            <w:pPr>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right"/>
              <w:rPr/>
            </w:pPr>
            <w:r w:rsidDel="00000000" w:rsidR="00000000" w:rsidRPr="00000000">
              <w:rPr>
                <w:rFonts w:ascii="Tahoma" w:cs="Tahoma" w:eastAsia="Tahoma" w:hAnsi="Tahoma"/>
                <w:b w:val="1"/>
                <w:color w:val="3a4888"/>
                <w:sz w:val="20"/>
                <w:szCs w:val="20"/>
                <w:rtl w:val="0"/>
              </w:rPr>
              <w:t xml:space="preserve">Evaluation</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numPr>
                <w:ilvl w:val="0"/>
                <w:numId w:val="61"/>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numPr>
                <w:ilvl w:val="0"/>
                <w:numId w:val="47"/>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Collects data disaggregated by sex/age</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numPr>
                <w:ilvl w:val="0"/>
                <w:numId w:val="32"/>
              </w:numPr>
              <w:ind w:left="360"/>
              <w:rPr>
                <w:rFonts w:ascii="Tahoma" w:cs="Tahoma" w:eastAsia="Tahoma" w:hAnsi="Tahoma"/>
                <w:sz w:val="18"/>
                <w:szCs w:val="18"/>
              </w:rPr>
            </w:pPr>
            <w:r w:rsidDel="00000000" w:rsidR="00000000" w:rsidRPr="00000000">
              <w:rPr>
                <w:rFonts w:ascii="Tahoma" w:cs="Tahoma" w:eastAsia="Tahoma" w:hAnsi="Tahoma"/>
                <w:color w:val="7030a0"/>
                <w:sz w:val="18"/>
                <w:szCs w:val="18"/>
                <w:rtl w:val="0"/>
              </w:rPr>
              <w:t xml:space="preserve">Analyzes and presents the differential results for male and female beneficiaries of different ages (where possible/relevant)</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62"/>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Assesses the differential results for male and female beneficiaries of different ages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A0">
            <w:pPr>
              <w:numPr>
                <w:ilvl w:val="0"/>
                <w:numId w:val="24"/>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Includes gender analysis of results and identifies gender-related drivers of change or lack of change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A1">
            <w:pPr>
              <w:numPr>
                <w:ilvl w:val="0"/>
                <w:numId w:val="11"/>
              </w:numPr>
              <w:ind w:left="720" w:hanging="360"/>
              <w:rPr>
                <w:rFonts w:ascii="Tahoma" w:cs="Tahoma" w:eastAsia="Tahoma" w:hAnsi="Tahoma"/>
                <w:sz w:val="18"/>
                <w:szCs w:val="18"/>
              </w:rPr>
            </w:pPr>
            <w:r w:rsidDel="00000000" w:rsidR="00000000" w:rsidRPr="00000000">
              <w:rPr>
                <w:rFonts w:ascii="Tahoma" w:cs="Tahoma" w:eastAsia="Tahoma" w:hAnsi="Tahoma"/>
                <w:color w:val="c00000"/>
                <w:sz w:val="18"/>
                <w:szCs w:val="18"/>
                <w:rtl w:val="0"/>
              </w:rPr>
              <w:t xml:space="preserve">Includes analysis of intersecting factors of identity</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14"/>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Assesses the differential results for male and female beneficiaries of different ages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A4">
            <w:pPr>
              <w:numPr>
                <w:ilvl w:val="0"/>
                <w:numId w:val="12"/>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Includes gender analysis of results and identifies gender-related drivers of change or lack of change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59"/>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Includes analysis of intersecting factors of identity</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21"/>
              </w:numPr>
              <w:ind w:left="720"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Uses a combination of qualitative and quantitative methods to capture objectivity and subjective experience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numPr>
                <w:ilvl w:val="0"/>
                <w:numId w:val="45"/>
              </w:numPr>
              <w:ind w:left="720"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Evaluates the status and change of power dynamics between men and women/boys and girls (ie changes in </w:t>
            </w:r>
            <w:r w:rsidDel="00000000" w:rsidR="00000000" w:rsidRPr="00000000">
              <w:rPr>
                <w:rFonts w:ascii="Tahoma" w:cs="Tahoma" w:eastAsia="Tahoma" w:hAnsi="Tahoma"/>
                <w:i w:val="1"/>
                <w:color w:val="385623"/>
                <w:sz w:val="18"/>
                <w:szCs w:val="18"/>
                <w:rtl w:val="0"/>
              </w:rPr>
              <w:t xml:space="preserve">position</w:t>
            </w:r>
            <w:r w:rsidDel="00000000" w:rsidR="00000000" w:rsidRPr="00000000">
              <w:rPr>
                <w:rFonts w:ascii="Tahoma" w:cs="Tahoma" w:eastAsia="Tahoma" w:hAnsi="Tahoma"/>
                <w:color w:val="385623"/>
                <w:sz w:val="18"/>
                <w:szCs w:val="18"/>
                <w:rtl w:val="0"/>
              </w:rPr>
              <w:t xml:space="preserve">)</w:t>
            </w:r>
          </w:p>
          <w:p w:rsidR="00000000" w:rsidDel="00000000" w:rsidP="00000000" w:rsidRDefault="00000000" w:rsidRPr="00000000" w14:paraId="000000AB">
            <w:pPr>
              <w:rPr/>
            </w:pPr>
            <w:r w:rsidDel="00000000" w:rsidR="00000000" w:rsidRPr="00000000">
              <w:rPr>
                <w:rtl w:val="0"/>
              </w:rPr>
            </w:r>
          </w:p>
        </w:tc>
      </w:tr>
    </w:tbl>
    <w:p w:rsidR="00000000" w:rsidDel="00000000" w:rsidP="00000000" w:rsidRDefault="00000000" w:rsidRPr="00000000" w14:paraId="000000AC">
      <w:pPr>
        <w:spacing w:after="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AD">
      <w:pPr>
        <w:spacing w:after="240" w:lineRule="auto"/>
        <w:rPr/>
      </w:pPr>
      <w:r w:rsidDel="00000000" w:rsidR="00000000" w:rsidRPr="00000000">
        <w:rPr>
          <w:rtl w:val="0"/>
        </w:rPr>
      </w:r>
    </w:p>
    <w:tbl>
      <w:tblPr>
        <w:tblStyle w:val="Table6"/>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2"/>
        <w:gridCol w:w="3487"/>
        <w:gridCol w:w="3374"/>
        <w:gridCol w:w="4447"/>
        <w:tblGridChange w:id="0">
          <w:tblGrid>
            <w:gridCol w:w="1652"/>
            <w:gridCol w:w="3487"/>
            <w:gridCol w:w="3374"/>
            <w:gridCol w:w="4447"/>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0AE">
            <w:pPr>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jc w:val="right"/>
              <w:rPr/>
            </w:pPr>
            <w:r w:rsidDel="00000000" w:rsidR="00000000" w:rsidRPr="00000000">
              <w:rPr>
                <w:rFonts w:ascii="Tahoma" w:cs="Tahoma" w:eastAsia="Tahoma" w:hAnsi="Tahoma"/>
                <w:b w:val="1"/>
                <w:color w:val="3a4888"/>
                <w:sz w:val="20"/>
                <w:szCs w:val="20"/>
                <w:rtl w:val="0"/>
              </w:rPr>
              <w:t xml:space="preserve">Accountability</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numPr>
                <w:ilvl w:val="0"/>
                <w:numId w:val="55"/>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Ensures that information sharing is equally accessible for male and female stakeholders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numPr>
                <w:ilvl w:val="0"/>
                <w:numId w:val="56"/>
              </w:numPr>
              <w:ind w:left="360"/>
              <w:rPr>
                <w:rFonts w:ascii="Tahoma" w:cs="Tahoma" w:eastAsia="Tahoma" w:hAnsi="Tahoma"/>
                <w:sz w:val="18"/>
                <w:szCs w:val="18"/>
              </w:rPr>
            </w:pPr>
            <w:r w:rsidDel="00000000" w:rsidR="00000000" w:rsidRPr="00000000">
              <w:rPr>
                <w:rFonts w:ascii="Tahoma" w:cs="Tahoma" w:eastAsia="Tahoma" w:hAnsi="Tahoma"/>
                <w:color w:val="7030a0"/>
                <w:sz w:val="18"/>
                <w:szCs w:val="18"/>
                <w:rtl w:val="0"/>
              </w:rPr>
              <w:t xml:space="preserve">Shares results that disaggregate by sex and age</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numPr>
                <w:ilvl w:val="0"/>
                <w:numId w:val="41"/>
              </w:numPr>
              <w:ind w:left="325"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Ensures that information sharing is equally accessible for male and female stakeholders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numPr>
                <w:ilvl w:val="0"/>
                <w:numId w:val="66"/>
              </w:numPr>
              <w:ind w:left="325"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Shares results that disaggregate by sex and age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numPr>
                <w:ilvl w:val="0"/>
                <w:numId w:val="60"/>
              </w:numPr>
              <w:spacing w:after="160" w:lineRule="auto"/>
              <w:ind w:left="325"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Communicates results to and invites input from women and girls</w:t>
            </w:r>
          </w:p>
          <w:p w:rsidR="00000000" w:rsidDel="00000000" w:rsidP="00000000" w:rsidRDefault="00000000" w:rsidRPr="00000000" w14:paraId="000000C2">
            <w:pPr>
              <w:spacing w:after="240" w:lineRule="auto"/>
              <w:rPr/>
            </w:pP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numPr>
                <w:ilvl w:val="0"/>
                <w:numId w:val="64"/>
              </w:numPr>
              <w:ind w:left="720"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Ensures that information sharing is equally accessible for male and female stakeholders</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numPr>
                <w:ilvl w:val="0"/>
                <w:numId w:val="5"/>
              </w:numPr>
              <w:spacing w:after="160" w:lineRule="auto"/>
              <w:ind w:left="720"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Shares results that disaggregate by sex and age</w:t>
            </w:r>
          </w:p>
          <w:p w:rsidR="00000000" w:rsidDel="00000000" w:rsidP="00000000" w:rsidRDefault="00000000" w:rsidRPr="00000000" w14:paraId="000000C7">
            <w:pPr>
              <w:numPr>
                <w:ilvl w:val="0"/>
                <w:numId w:val="68"/>
              </w:numPr>
              <w:ind w:left="720"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Generating results in collaboration and with input specifically from women and girls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numPr>
                <w:ilvl w:val="0"/>
                <w:numId w:val="9"/>
              </w:numPr>
              <w:ind w:left="720" w:hanging="360"/>
              <w:rPr>
                <w:rFonts w:ascii="Tahoma" w:cs="Tahoma" w:eastAsia="Tahoma" w:hAnsi="Tahoma"/>
                <w:color w:val="538135"/>
                <w:sz w:val="18"/>
                <w:szCs w:val="18"/>
              </w:rPr>
            </w:pPr>
            <w:r w:rsidDel="00000000" w:rsidR="00000000" w:rsidRPr="00000000">
              <w:rPr>
                <w:rFonts w:ascii="Tahoma" w:cs="Tahoma" w:eastAsia="Tahoma" w:hAnsi="Tahoma"/>
                <w:color w:val="385623"/>
                <w:sz w:val="18"/>
                <w:szCs w:val="18"/>
                <w:rtl w:val="0"/>
              </w:rPr>
              <w:t xml:space="preserve">Assigns equal or greater priority to ‘downward’ accountability activities and participation in planning, monitoring, learning</w:t>
            </w:r>
            <w:r w:rsidDel="00000000" w:rsidR="00000000" w:rsidRPr="00000000">
              <w:rPr>
                <w:rtl w:val="0"/>
              </w:rPr>
            </w:r>
          </w:p>
        </w:tc>
      </w:tr>
    </w:tbl>
    <w:p w:rsidR="00000000" w:rsidDel="00000000" w:rsidP="00000000" w:rsidRDefault="00000000" w:rsidRPr="00000000" w14:paraId="000000CA">
      <w:pPr>
        <w:spacing w:after="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CB">
      <w:pPr>
        <w:spacing w:after="240" w:lineRule="auto"/>
        <w:rPr/>
      </w:pPr>
      <w:r w:rsidDel="00000000" w:rsidR="00000000" w:rsidRPr="00000000">
        <w:rPr>
          <w:rtl w:val="0"/>
        </w:rPr>
      </w:r>
    </w:p>
    <w:p w:rsidR="00000000" w:rsidDel="00000000" w:rsidP="00000000" w:rsidRDefault="00000000" w:rsidRPr="00000000" w14:paraId="000000CC">
      <w:pPr>
        <w:spacing w:after="240" w:lineRule="auto"/>
        <w:rPr/>
      </w:pPr>
      <w:r w:rsidDel="00000000" w:rsidR="00000000" w:rsidRPr="00000000">
        <w:rPr>
          <w:rtl w:val="0"/>
        </w:rPr>
      </w:r>
    </w:p>
    <w:p w:rsidR="00000000" w:rsidDel="00000000" w:rsidP="00000000" w:rsidRDefault="00000000" w:rsidRPr="00000000" w14:paraId="000000CD">
      <w:pPr>
        <w:spacing w:after="240" w:lineRule="auto"/>
        <w:rPr/>
      </w:pPr>
      <w:r w:rsidDel="00000000" w:rsidR="00000000" w:rsidRPr="00000000">
        <w:rPr>
          <w:rtl w:val="0"/>
        </w:rPr>
      </w:r>
    </w:p>
    <w:p w:rsidR="00000000" w:rsidDel="00000000" w:rsidP="00000000" w:rsidRDefault="00000000" w:rsidRPr="00000000" w14:paraId="000000CE">
      <w:pPr>
        <w:spacing w:after="240" w:lineRule="auto"/>
        <w:rPr/>
      </w:pPr>
      <w:r w:rsidDel="00000000" w:rsidR="00000000" w:rsidRPr="00000000">
        <w:rPr>
          <w:rtl w:val="0"/>
        </w:rPr>
      </w:r>
    </w:p>
    <w:tbl>
      <w:tblPr>
        <w:tblStyle w:val="Table7"/>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4242"/>
        <w:gridCol w:w="3785"/>
        <w:gridCol w:w="3835"/>
        <w:tblGridChange w:id="0">
          <w:tblGrid>
            <w:gridCol w:w="1098"/>
            <w:gridCol w:w="4242"/>
            <w:gridCol w:w="3785"/>
            <w:gridCol w:w="3835"/>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0CF">
            <w:pPr>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jc w:val="center"/>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jc w:val="right"/>
              <w:rPr/>
            </w:pPr>
            <w:r w:rsidDel="00000000" w:rsidR="00000000" w:rsidRPr="00000000">
              <w:rPr>
                <w:rFonts w:ascii="Tahoma" w:cs="Tahoma" w:eastAsia="Tahoma" w:hAnsi="Tahoma"/>
                <w:b w:val="1"/>
                <w:color w:val="3a4888"/>
                <w:sz w:val="20"/>
                <w:szCs w:val="20"/>
                <w:rtl w:val="0"/>
              </w:rPr>
              <w:t xml:space="preserve">Learning</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numPr>
                <w:ilvl w:val="0"/>
                <w:numId w:val="18"/>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Research initiatives appropriately disaggregate data by sex and age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0"/>
                <w:numId w:val="65"/>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initiatives consider gender in the design of methodology</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numPr>
                <w:ilvl w:val="0"/>
                <w:numId w:val="19"/>
              </w:numPr>
              <w:spacing w:after="160" w:lineRule="auto"/>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products document any findings that indicate differences between outcomes based on gender, or learnings related to implementation based on gender</w:t>
            </w:r>
          </w:p>
        </w:tc>
        <w:tc>
          <w:tcPr>
            <w:shd w:fill="f2f2f2" w:val="clear"/>
            <w:tcMar>
              <w:top w:w="0.0" w:type="dxa"/>
              <w:left w:w="108.0" w:type="dxa"/>
              <w:bottom w:w="0.0" w:type="dxa"/>
              <w:right w:w="108.0" w:type="dxa"/>
            </w:tcMar>
          </w:tcPr>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numPr>
                <w:ilvl w:val="0"/>
                <w:numId w:val="25"/>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Any research initiatives appropriately disaggregate data by sex and age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numPr>
                <w:ilvl w:val="0"/>
                <w:numId w:val="22"/>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initiatives include gender in the design of methodology</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10"/>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products specifically include an analysis of outcomes based on gender, or learnings related to implementation based on gender</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numPr>
                <w:ilvl w:val="0"/>
                <w:numId w:val="13"/>
              </w:numPr>
              <w:ind w:left="404" w:hanging="360"/>
              <w:rPr>
                <w:rFonts w:ascii="Tahoma" w:cs="Tahoma" w:eastAsia="Tahoma" w:hAnsi="Tahoma"/>
                <w:sz w:val="18"/>
                <w:szCs w:val="18"/>
              </w:rPr>
            </w:pPr>
            <w:r w:rsidDel="00000000" w:rsidR="00000000" w:rsidRPr="00000000">
              <w:rPr>
                <w:rFonts w:ascii="Tahoma" w:cs="Tahoma" w:eastAsia="Tahoma" w:hAnsi="Tahoma"/>
                <w:color w:val="c00000"/>
                <w:sz w:val="18"/>
                <w:szCs w:val="18"/>
                <w:rtl w:val="0"/>
              </w:rPr>
              <w:t xml:space="preserve">Learning results are validated by and shared with the diversity of participants or subjects</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numPr>
                <w:ilvl w:val="0"/>
                <w:numId w:val="7"/>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Any research initiatives appropriately disaggregate data by sex and age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numPr>
                <w:ilvl w:val="0"/>
                <w:numId w:val="49"/>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initiatives are co-designed with participants and include gender in the design of methodology</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EB">
            <w:pPr>
              <w:numPr>
                <w:ilvl w:val="0"/>
                <w:numId w:val="34"/>
              </w:numPr>
              <w:spacing w:after="160" w:lineRule="auto"/>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products specifically include an analysis of outcomes based on gender, or learnings related to implementation based on gender</w:t>
            </w:r>
          </w:p>
          <w:p w:rsidR="00000000" w:rsidDel="00000000" w:rsidP="00000000" w:rsidRDefault="00000000" w:rsidRPr="00000000" w14:paraId="000000EC">
            <w:pPr>
              <w:numPr>
                <w:ilvl w:val="0"/>
                <w:numId w:val="16"/>
              </w:numPr>
              <w:ind w:left="404" w:hanging="360"/>
              <w:rPr>
                <w:rFonts w:ascii="Tahoma" w:cs="Tahoma" w:eastAsia="Tahoma" w:hAnsi="Tahoma"/>
                <w:color w:val="538135"/>
                <w:sz w:val="18"/>
                <w:szCs w:val="18"/>
              </w:rPr>
            </w:pPr>
            <w:r w:rsidDel="00000000" w:rsidR="00000000" w:rsidRPr="00000000">
              <w:rPr>
                <w:rFonts w:ascii="Tahoma" w:cs="Tahoma" w:eastAsia="Tahoma" w:hAnsi="Tahoma"/>
                <w:color w:val="385623"/>
                <w:sz w:val="18"/>
                <w:szCs w:val="18"/>
                <w:rtl w:val="0"/>
              </w:rPr>
              <w:t xml:space="preserve">Learning results are identified and determined by the diversity of participants or subjects</w:t>
            </w:r>
            <w:r w:rsidDel="00000000" w:rsidR="00000000" w:rsidRPr="00000000">
              <w:rPr>
                <w:rtl w:val="0"/>
              </w:rPr>
            </w:r>
          </w:p>
        </w:tc>
      </w:tr>
    </w:tbl>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E">
      <w:pPr>
        <w:rPr>
          <w:rFonts w:ascii="Tahoma" w:cs="Tahoma" w:eastAsia="Tahoma" w:hAnsi="Tahoma"/>
        </w:rPr>
      </w:pPr>
      <w:r w:rsidDel="00000000" w:rsidR="00000000" w:rsidRPr="00000000">
        <w:rPr>
          <w:rtl w:val="0"/>
        </w:rPr>
      </w:r>
    </w:p>
    <w:p w:rsidR="00000000" w:rsidDel="00000000" w:rsidP="00000000" w:rsidRDefault="00000000" w:rsidRPr="00000000" w14:paraId="000000EF">
      <w:pPr>
        <w:pStyle w:val="Heading3"/>
        <w:spacing w:line="276" w:lineRule="auto"/>
        <w:rPr/>
      </w:pPr>
      <w:bookmarkStart w:colFirst="0" w:colLast="0" w:name="_heading=h.ytq8j47o0d1m" w:id="5"/>
      <w:bookmarkEnd w:id="5"/>
      <w:r w:rsidDel="00000000" w:rsidR="00000000" w:rsidRPr="00000000">
        <w:rPr>
          <w:rtl w:val="0"/>
        </w:rPr>
      </w:r>
    </w:p>
    <w:p w:rsidR="00000000" w:rsidDel="00000000" w:rsidP="00000000" w:rsidRDefault="00000000" w:rsidRPr="00000000" w14:paraId="000000F0">
      <w:pPr>
        <w:pStyle w:val="Heading3"/>
        <w:spacing w:line="276" w:lineRule="auto"/>
        <w:rPr/>
      </w:pPr>
      <w:bookmarkStart w:colFirst="0" w:colLast="0" w:name="_heading=h.41ft0igrvxl8" w:id="6"/>
      <w:bookmarkEnd w:id="6"/>
      <w:r w:rsidDel="00000000" w:rsidR="00000000" w:rsidRPr="00000000">
        <w:rPr>
          <w:rtl w:val="0"/>
        </w:rPr>
      </w:r>
    </w:p>
    <w:p w:rsidR="00000000" w:rsidDel="00000000" w:rsidP="00000000" w:rsidRDefault="00000000" w:rsidRPr="00000000" w14:paraId="000000F1">
      <w:pPr>
        <w:pStyle w:val="Heading3"/>
        <w:spacing w:line="276" w:lineRule="auto"/>
        <w:rPr/>
      </w:pPr>
      <w:bookmarkStart w:colFirst="0" w:colLast="0" w:name="_heading=h.6sif3iu7bs06" w:id="7"/>
      <w:bookmarkEnd w:id="7"/>
      <w:r w:rsidDel="00000000" w:rsidR="00000000" w:rsidRPr="00000000">
        <w:rPr>
          <w:rtl w:val="0"/>
        </w:rPr>
      </w:r>
    </w:p>
    <w:p w:rsidR="00000000" w:rsidDel="00000000" w:rsidP="00000000" w:rsidRDefault="00000000" w:rsidRPr="00000000" w14:paraId="000000F2">
      <w:pPr>
        <w:pStyle w:val="Heading3"/>
        <w:spacing w:line="276" w:lineRule="auto"/>
        <w:rPr/>
      </w:pPr>
      <w:bookmarkStart w:colFirst="0" w:colLast="0" w:name="_heading=h.fd66s1f2wr56" w:id="8"/>
      <w:bookmarkEnd w:id="8"/>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3"/>
        <w:spacing w:line="276" w:lineRule="auto"/>
        <w:rPr/>
      </w:pPr>
      <w:bookmarkStart w:colFirst="0" w:colLast="0" w:name="_heading=h.ui8yf6pv21yq" w:id="9"/>
      <w:bookmarkEnd w:id="9"/>
      <w:r w:rsidDel="00000000" w:rsidR="00000000" w:rsidRPr="00000000">
        <w:rPr>
          <w:rtl w:val="0"/>
        </w:rPr>
      </w:r>
    </w:p>
    <w:p w:rsidR="00000000" w:rsidDel="00000000" w:rsidP="00000000" w:rsidRDefault="00000000" w:rsidRPr="00000000" w14:paraId="000000F5">
      <w:pPr>
        <w:pStyle w:val="Heading3"/>
        <w:spacing w:line="276" w:lineRule="auto"/>
        <w:rPr/>
      </w:pPr>
      <w:bookmarkStart w:colFirst="0" w:colLast="0" w:name="_heading=h.5g84jy7myvgp" w:id="10"/>
      <w:bookmarkEnd w:id="10"/>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3"/>
        <w:spacing w:line="276" w:lineRule="auto"/>
        <w:rPr/>
      </w:pPr>
      <w:bookmarkStart w:colFirst="0" w:colLast="0" w:name="_heading=h.4d34og8" w:id="11"/>
      <w:bookmarkEnd w:id="11"/>
      <w:r w:rsidDel="00000000" w:rsidR="00000000" w:rsidRPr="00000000">
        <w:rPr>
          <w:rtl w:val="0"/>
        </w:rPr>
        <w:t xml:space="preserve">Annex 13b: Oxfam’s 2017 Discussion Paper: Applying Feminist Principles to Program Monitoring, Evaluation, Accountability and Learning</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Website</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sz w:val="20"/>
          <w:szCs w:val="20"/>
          <w:rtl w:val="0"/>
        </w:rPr>
        <w:t xml:space="preserve"> </w:t>
      </w:r>
      <w:hyperlink r:id="rId13">
        <w:r w:rsidDel="00000000" w:rsidR="00000000" w:rsidRPr="00000000">
          <w:rPr>
            <w:rFonts w:ascii="Tahoma" w:cs="Tahoma" w:eastAsia="Tahoma" w:hAnsi="Tahoma"/>
            <w:color w:val="0563c1"/>
            <w:sz w:val="20"/>
            <w:szCs w:val="20"/>
            <w:u w:val="single"/>
            <w:rtl w:val="0"/>
          </w:rPr>
          <w:t xml:space="preserve">https://oxfamilibrary.openrepository.com/bitstream/handle/10546/620318/dp-feminist-principles-meal-260717-en.pdf?sequence=4</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A">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68581</wp:posOffset>
            </wp:positionH>
            <wp:positionV relativeFrom="paragraph">
              <wp:posOffset>66288</wp:posOffset>
            </wp:positionV>
            <wp:extent cx="3530600" cy="4778375"/>
            <wp:effectExtent b="0" l="0" r="0" t="0"/>
            <wp:wrapSquare wrapText="bothSides" distB="0" distT="0" distL="114300" distR="114300"/>
            <wp:docPr descr="Text, letter&#10;&#10;Description automatically generated" id="237" name="image2.png"/>
            <a:graphic>
              <a:graphicData uri="http://schemas.openxmlformats.org/drawingml/2006/picture">
                <pic:pic>
                  <pic:nvPicPr>
                    <pic:cNvPr descr="Text, letter&#10;&#10;Description automatically generated" id="0" name="image2.png"/>
                    <pic:cNvPicPr preferRelativeResize="0"/>
                  </pic:nvPicPr>
                  <pic:blipFill>
                    <a:blip r:embed="rId14"/>
                    <a:srcRect b="0" l="0" r="0" t="0"/>
                    <a:stretch>
                      <a:fillRect/>
                    </a:stretch>
                  </pic:blipFill>
                  <pic:spPr>
                    <a:xfrm>
                      <a:off x="0" y="0"/>
                      <a:ext cx="3530600" cy="4778375"/>
                    </a:xfrm>
                    <a:prstGeom prst="rect"/>
                    <a:ln/>
                  </pic:spPr>
                </pic:pic>
              </a:graphicData>
            </a:graphic>
          </wp:anchor>
        </w:drawing>
      </w:r>
    </w:p>
    <w:p w:rsidR="00000000" w:rsidDel="00000000" w:rsidP="00000000" w:rsidRDefault="00000000" w:rsidRPr="00000000" w14:paraId="000000FB">
      <w:pPr>
        <w:rPr>
          <w:rFonts w:ascii="Tahoma" w:cs="Tahoma" w:eastAsia="Tahoma" w:hAnsi="Tahoma"/>
        </w:rPr>
      </w:pPr>
      <w:r w:rsidDel="00000000" w:rsidR="00000000" w:rsidRPr="00000000">
        <w:rPr>
          <w:rtl w:val="0"/>
        </w:rPr>
      </w:r>
    </w:p>
    <w:p w:rsidR="00000000" w:rsidDel="00000000" w:rsidP="00000000" w:rsidRDefault="00000000" w:rsidRPr="00000000" w14:paraId="000000FC">
      <w:pPr>
        <w:rPr>
          <w:rFonts w:ascii="Tahoma" w:cs="Tahoma" w:eastAsia="Tahoma" w:hAnsi="Tahoma"/>
        </w:rPr>
      </w:pPr>
      <w:r w:rsidDel="00000000" w:rsidR="00000000" w:rsidRPr="00000000">
        <w:rPr>
          <w:rtl w:val="0"/>
        </w:rPr>
      </w:r>
    </w:p>
    <w:p w:rsidR="00000000" w:rsidDel="00000000" w:rsidP="00000000" w:rsidRDefault="00000000" w:rsidRPr="00000000" w14:paraId="000000FD">
      <w:pPr>
        <w:rPr>
          <w:rFonts w:ascii="Tahoma" w:cs="Tahoma" w:eastAsia="Tahoma" w:hAnsi="Tahoma"/>
        </w:rPr>
      </w:pPr>
      <w:r w:rsidDel="00000000" w:rsidR="00000000" w:rsidRPr="00000000">
        <w:rPr>
          <w:rtl w:val="0"/>
        </w:rPr>
      </w:r>
    </w:p>
    <w:p w:rsidR="00000000" w:rsidDel="00000000" w:rsidP="00000000" w:rsidRDefault="00000000" w:rsidRPr="00000000" w14:paraId="000000FE">
      <w:pPr>
        <w:rPr>
          <w:rFonts w:ascii="Tahoma" w:cs="Tahoma" w:eastAsia="Tahoma" w:hAnsi="Tahoma"/>
        </w:rPr>
      </w:pPr>
      <w:r w:rsidDel="00000000" w:rsidR="00000000" w:rsidRPr="00000000">
        <w:rPr>
          <w:rtl w:val="0"/>
        </w:rPr>
      </w:r>
    </w:p>
    <w:p w:rsidR="00000000" w:rsidDel="00000000" w:rsidP="00000000" w:rsidRDefault="00000000" w:rsidRPr="00000000" w14:paraId="000000FF">
      <w:pPr>
        <w:rPr>
          <w:rFonts w:ascii="Tahoma" w:cs="Tahoma" w:eastAsia="Tahoma" w:hAnsi="Tahoma"/>
        </w:rPr>
      </w:pPr>
      <w:r w:rsidDel="00000000" w:rsidR="00000000" w:rsidRPr="00000000">
        <w:rPr>
          <w:rtl w:val="0"/>
        </w:rPr>
      </w:r>
    </w:p>
    <w:p w:rsidR="00000000" w:rsidDel="00000000" w:rsidP="00000000" w:rsidRDefault="00000000" w:rsidRPr="00000000" w14:paraId="00000100">
      <w:pPr>
        <w:rPr>
          <w:rFonts w:ascii="Tahoma" w:cs="Tahoma" w:eastAsia="Tahoma" w:hAnsi="Tahoma"/>
        </w:rPr>
      </w:pPr>
      <w:r w:rsidDel="00000000" w:rsidR="00000000" w:rsidRPr="00000000">
        <w:rPr>
          <w:rtl w:val="0"/>
        </w:rPr>
      </w:r>
    </w:p>
    <w:p w:rsidR="00000000" w:rsidDel="00000000" w:rsidP="00000000" w:rsidRDefault="00000000" w:rsidRPr="00000000" w14:paraId="00000101">
      <w:pPr>
        <w:rPr>
          <w:rFonts w:ascii="Tahoma" w:cs="Tahoma" w:eastAsia="Tahoma" w:hAnsi="Tahoma"/>
        </w:rPr>
      </w:pPr>
      <w:r w:rsidDel="00000000" w:rsidR="00000000" w:rsidRPr="00000000">
        <w:rPr>
          <w:rtl w:val="0"/>
        </w:rPr>
      </w:r>
    </w:p>
    <w:p w:rsidR="00000000" w:rsidDel="00000000" w:rsidP="00000000" w:rsidRDefault="00000000" w:rsidRPr="00000000" w14:paraId="00000102">
      <w:pPr>
        <w:rPr>
          <w:rFonts w:ascii="Tahoma" w:cs="Tahoma" w:eastAsia="Tahoma" w:hAnsi="Tahoma"/>
        </w:rPr>
      </w:pPr>
      <w:r w:rsidDel="00000000" w:rsidR="00000000" w:rsidRPr="00000000">
        <w:rPr>
          <w:rtl w:val="0"/>
        </w:rPr>
      </w:r>
    </w:p>
    <w:p w:rsidR="00000000" w:rsidDel="00000000" w:rsidP="00000000" w:rsidRDefault="00000000" w:rsidRPr="00000000" w14:paraId="00000103">
      <w:pPr>
        <w:rPr>
          <w:rFonts w:ascii="Tahoma" w:cs="Tahoma" w:eastAsia="Tahoma" w:hAnsi="Tahoma"/>
        </w:rPr>
      </w:pPr>
      <w:r w:rsidDel="00000000" w:rsidR="00000000" w:rsidRPr="00000000">
        <w:rPr>
          <w:rtl w:val="0"/>
        </w:rPr>
      </w:r>
    </w:p>
    <w:p w:rsidR="00000000" w:rsidDel="00000000" w:rsidP="00000000" w:rsidRDefault="00000000" w:rsidRPr="00000000" w14:paraId="00000104">
      <w:pPr>
        <w:rPr>
          <w:rFonts w:ascii="Tahoma" w:cs="Tahoma" w:eastAsia="Tahoma" w:hAnsi="Tahoma"/>
        </w:rPr>
      </w:pPr>
      <w:r w:rsidDel="00000000" w:rsidR="00000000" w:rsidRPr="00000000">
        <w:rPr>
          <w:rtl w:val="0"/>
        </w:rPr>
      </w:r>
    </w:p>
    <w:p w:rsidR="00000000" w:rsidDel="00000000" w:rsidP="00000000" w:rsidRDefault="00000000" w:rsidRPr="00000000" w14:paraId="00000105">
      <w:pPr>
        <w:rPr>
          <w:rFonts w:ascii="Tahoma" w:cs="Tahoma" w:eastAsia="Tahoma" w:hAnsi="Tahoma"/>
        </w:rPr>
      </w:pPr>
      <w:r w:rsidDel="00000000" w:rsidR="00000000" w:rsidRPr="00000000">
        <w:rPr>
          <w:rtl w:val="0"/>
        </w:rPr>
      </w:r>
    </w:p>
    <w:p w:rsidR="00000000" w:rsidDel="00000000" w:rsidP="00000000" w:rsidRDefault="00000000" w:rsidRPr="00000000" w14:paraId="00000106">
      <w:pPr>
        <w:rPr>
          <w:rFonts w:ascii="Tahoma" w:cs="Tahoma" w:eastAsia="Tahoma" w:hAnsi="Tahoma"/>
        </w:rPr>
      </w:pPr>
      <w:r w:rsidDel="00000000" w:rsidR="00000000" w:rsidRPr="00000000">
        <w:rPr>
          <w:rtl w:val="0"/>
        </w:rPr>
      </w:r>
    </w:p>
    <w:p w:rsidR="00000000" w:rsidDel="00000000" w:rsidP="00000000" w:rsidRDefault="00000000" w:rsidRPr="00000000" w14:paraId="00000107">
      <w:pPr>
        <w:rPr>
          <w:rFonts w:ascii="Tahoma" w:cs="Tahoma" w:eastAsia="Tahoma" w:hAnsi="Tahoma"/>
        </w:rPr>
      </w:pPr>
      <w:r w:rsidDel="00000000" w:rsidR="00000000" w:rsidRPr="00000000">
        <w:rPr>
          <w:rtl w:val="0"/>
        </w:rPr>
      </w:r>
    </w:p>
    <w:p w:rsidR="00000000" w:rsidDel="00000000" w:rsidP="00000000" w:rsidRDefault="00000000" w:rsidRPr="00000000" w14:paraId="00000108">
      <w:pPr>
        <w:rPr>
          <w:rFonts w:ascii="Tahoma" w:cs="Tahoma" w:eastAsia="Tahoma" w:hAnsi="Tahoma"/>
        </w:rPr>
      </w:pPr>
      <w:r w:rsidDel="00000000" w:rsidR="00000000" w:rsidRPr="00000000">
        <w:rPr>
          <w:rtl w:val="0"/>
        </w:rPr>
      </w:r>
    </w:p>
    <w:p w:rsidR="00000000" w:rsidDel="00000000" w:rsidP="00000000" w:rsidRDefault="00000000" w:rsidRPr="00000000" w14:paraId="00000109">
      <w:pPr>
        <w:rPr>
          <w:rFonts w:ascii="Tahoma" w:cs="Tahoma" w:eastAsia="Tahoma" w:hAnsi="Tahoma"/>
        </w:rPr>
      </w:pPr>
      <w:r w:rsidDel="00000000" w:rsidR="00000000" w:rsidRPr="00000000">
        <w:rPr>
          <w:rtl w:val="0"/>
        </w:rPr>
      </w:r>
    </w:p>
    <w:p w:rsidR="00000000" w:rsidDel="00000000" w:rsidP="00000000" w:rsidRDefault="00000000" w:rsidRPr="00000000" w14:paraId="0000010A">
      <w:pPr>
        <w:rPr>
          <w:rFonts w:ascii="Tahoma" w:cs="Tahoma" w:eastAsia="Tahoma" w:hAnsi="Tahoma"/>
        </w:rPr>
      </w:pPr>
      <w:r w:rsidDel="00000000" w:rsidR="00000000" w:rsidRPr="00000000">
        <w:rPr>
          <w:rtl w:val="0"/>
        </w:rPr>
      </w:r>
    </w:p>
    <w:p w:rsidR="00000000" w:rsidDel="00000000" w:rsidP="00000000" w:rsidRDefault="00000000" w:rsidRPr="00000000" w14:paraId="0000010B">
      <w:pPr>
        <w:rPr>
          <w:rFonts w:ascii="Tahoma" w:cs="Tahoma" w:eastAsia="Tahoma" w:hAnsi="Tahoma"/>
        </w:rPr>
      </w:pPr>
      <w:r w:rsidDel="00000000" w:rsidR="00000000" w:rsidRPr="00000000">
        <w:rPr>
          <w:rtl w:val="0"/>
        </w:rPr>
      </w:r>
    </w:p>
    <w:p w:rsidR="00000000" w:rsidDel="00000000" w:rsidP="00000000" w:rsidRDefault="00000000" w:rsidRPr="00000000" w14:paraId="0000010C">
      <w:pPr>
        <w:rPr>
          <w:rFonts w:ascii="Tahoma" w:cs="Tahoma" w:eastAsia="Tahoma" w:hAnsi="Tahoma"/>
        </w:rPr>
      </w:pPr>
      <w:r w:rsidDel="00000000" w:rsidR="00000000" w:rsidRPr="00000000">
        <w:rPr>
          <w:rtl w:val="0"/>
        </w:rPr>
      </w:r>
    </w:p>
    <w:p w:rsidR="00000000" w:rsidDel="00000000" w:rsidP="00000000" w:rsidRDefault="00000000" w:rsidRPr="00000000" w14:paraId="0000010D">
      <w:pPr>
        <w:rPr>
          <w:rFonts w:ascii="Tahoma" w:cs="Tahoma" w:eastAsia="Tahoma" w:hAnsi="Tahoma"/>
        </w:rPr>
      </w:pPr>
      <w:r w:rsidDel="00000000" w:rsidR="00000000" w:rsidRPr="00000000">
        <w:rPr>
          <w:rtl w:val="0"/>
        </w:rPr>
      </w:r>
    </w:p>
    <w:p w:rsidR="00000000" w:rsidDel="00000000" w:rsidP="00000000" w:rsidRDefault="00000000" w:rsidRPr="00000000" w14:paraId="0000010E">
      <w:pPr>
        <w:rPr>
          <w:rFonts w:ascii="Tahoma" w:cs="Tahoma" w:eastAsia="Tahoma" w:hAnsi="Tahoma"/>
        </w:rPr>
      </w:pPr>
      <w:r w:rsidDel="00000000" w:rsidR="00000000" w:rsidRPr="00000000">
        <w:rPr>
          <w:rtl w:val="0"/>
        </w:rPr>
      </w:r>
    </w:p>
    <w:p w:rsidR="00000000" w:rsidDel="00000000" w:rsidP="00000000" w:rsidRDefault="00000000" w:rsidRPr="00000000" w14:paraId="0000010F">
      <w:pPr>
        <w:rPr>
          <w:rFonts w:ascii="Tahoma" w:cs="Tahoma" w:eastAsia="Tahoma" w:hAnsi="Tahoma"/>
        </w:rPr>
      </w:pPr>
      <w:r w:rsidDel="00000000" w:rsidR="00000000" w:rsidRPr="00000000">
        <w:rPr>
          <w:rtl w:val="0"/>
        </w:rPr>
      </w:r>
    </w:p>
    <w:p w:rsidR="00000000" w:rsidDel="00000000" w:rsidP="00000000" w:rsidRDefault="00000000" w:rsidRPr="00000000" w14:paraId="00000110">
      <w:pPr>
        <w:rPr>
          <w:rFonts w:ascii="Tahoma" w:cs="Tahoma" w:eastAsia="Tahoma" w:hAnsi="Tahoma"/>
        </w:rPr>
      </w:pPr>
      <w:r w:rsidDel="00000000" w:rsidR="00000000" w:rsidRPr="00000000">
        <w:rPr>
          <w:rtl w:val="0"/>
        </w:rPr>
      </w:r>
    </w:p>
    <w:p w:rsidR="00000000" w:rsidDel="00000000" w:rsidP="00000000" w:rsidRDefault="00000000" w:rsidRPr="00000000" w14:paraId="00000111">
      <w:pPr>
        <w:rPr>
          <w:rFonts w:ascii="Tahoma" w:cs="Tahoma" w:eastAsia="Tahoma" w:hAnsi="Tahoma"/>
        </w:rPr>
      </w:pPr>
      <w:r w:rsidDel="00000000" w:rsidR="00000000" w:rsidRPr="00000000">
        <w:rPr>
          <w:rtl w:val="0"/>
        </w:rPr>
      </w:r>
    </w:p>
    <w:p w:rsidR="00000000" w:rsidDel="00000000" w:rsidP="00000000" w:rsidRDefault="00000000" w:rsidRPr="00000000" w14:paraId="00000112">
      <w:pPr>
        <w:rPr>
          <w:rFonts w:ascii="Tahoma" w:cs="Tahoma" w:eastAsia="Tahoma" w:hAnsi="Tahoma"/>
        </w:rPr>
      </w:pPr>
      <w:r w:rsidDel="00000000" w:rsidR="00000000" w:rsidRPr="00000000">
        <w:rPr>
          <w:rtl w:val="0"/>
        </w:rPr>
      </w:r>
    </w:p>
    <w:p w:rsidR="00000000" w:rsidDel="00000000" w:rsidP="00000000" w:rsidRDefault="00000000" w:rsidRPr="00000000" w14:paraId="00000113">
      <w:pPr>
        <w:rPr>
          <w:rFonts w:ascii="Tahoma" w:cs="Tahoma" w:eastAsia="Tahoma" w:hAnsi="Tahoma"/>
        </w:rPr>
      </w:pPr>
      <w:r w:rsidDel="00000000" w:rsidR="00000000" w:rsidRPr="00000000">
        <w:rPr>
          <w:rtl w:val="0"/>
        </w:rPr>
      </w:r>
    </w:p>
    <w:tbl>
      <w:tblPr>
        <w:tblStyle w:val="Table8"/>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114">
            <w:pPr>
              <w:pStyle w:val="Heading1"/>
              <w:rPr/>
            </w:pPr>
            <w:bookmarkStart w:colFirst="0" w:colLast="0" w:name="_heading=h.2s8eyo1" w:id="12"/>
            <w:bookmarkEnd w:id="12"/>
            <w:r w:rsidDel="00000000" w:rsidR="00000000" w:rsidRPr="00000000">
              <w:rPr>
                <w:rtl w:val="0"/>
              </w:rPr>
              <w:t xml:space="preserve">Session 14: Quality Indicators for Gender Equality Outcomes</w:t>
            </w:r>
          </w:p>
        </w:tc>
      </w:tr>
    </w:tbl>
    <w:p w:rsidR="00000000" w:rsidDel="00000000" w:rsidP="00000000" w:rsidRDefault="00000000" w:rsidRPr="00000000" w14:paraId="00000115">
      <w:pPr>
        <w:rPr>
          <w:rFonts w:ascii="Tahoma" w:cs="Tahoma" w:eastAsia="Tahoma" w:hAnsi="Tahoma"/>
          <w:b w:val="1"/>
          <w:color w:val="3a4888"/>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19" name=""/>
                <a:graphic>
                  <a:graphicData uri="http://schemas.microsoft.com/office/word/2010/wordprocessingShape">
                    <wps:wsp>
                      <wps:cNvSpPr/>
                      <wps:cNvPr id="3" name="Shape 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19"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16">
      <w:pPr>
        <w:pStyle w:val="Heading3"/>
        <w:spacing w:line="276" w:lineRule="auto"/>
        <w:rPr/>
      </w:pPr>
      <w:bookmarkStart w:colFirst="0" w:colLast="0" w:name="_heading=h.17dp8vu" w:id="13"/>
      <w:bookmarkEnd w:id="13"/>
      <w:r w:rsidDel="00000000" w:rsidR="00000000" w:rsidRPr="00000000">
        <w:rPr>
          <w:rtl w:val="0"/>
        </w:rPr>
        <w:t xml:space="preserve">Global Affairs Canada’s RBM Guide: </w:t>
      </w:r>
    </w:p>
    <w:p w:rsidR="00000000" w:rsidDel="00000000" w:rsidP="00000000" w:rsidRDefault="00000000" w:rsidRPr="00000000" w14:paraId="00000117">
      <w:pPr>
        <w:spacing w:line="276" w:lineRule="auto"/>
        <w:rPr>
          <w:rFonts w:ascii="Tahoma" w:cs="Tahoma" w:eastAsia="Tahoma" w:hAnsi="Tahoma"/>
          <w:b w:val="1"/>
          <w:sz w:val="20"/>
          <w:szCs w:val="20"/>
        </w:rPr>
      </w:pPr>
      <w:hyperlink r:id="rId16">
        <w:r w:rsidDel="00000000" w:rsidR="00000000" w:rsidRPr="00000000">
          <w:rPr>
            <w:rFonts w:ascii="Tahoma" w:cs="Tahoma" w:eastAsia="Tahoma" w:hAnsi="Tahoma"/>
            <w:color w:val="0563c1"/>
            <w:sz w:val="20"/>
            <w:szCs w:val="20"/>
            <w:u w:val="single"/>
            <w:rtl w:val="0"/>
          </w:rPr>
          <w:t xml:space="preserve">https://www.international.gc.ca/world-monde/assets/pdfs/funding-financement/results_based_management-gestion_axee_resultats-guide-en.pdf</w:t>
        </w:r>
      </w:hyperlink>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118">
      <w:pPr>
        <w:spacing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19">
      <w:pPr>
        <w:pStyle w:val="Heading3"/>
        <w:spacing w:line="276" w:lineRule="auto"/>
        <w:rPr/>
      </w:pPr>
      <w:bookmarkStart w:colFirst="0" w:colLast="0" w:name="_heading=h.3rdcrjn" w:id="14"/>
      <w:bookmarkEnd w:id="14"/>
      <w:r w:rsidDel="00000000" w:rsidR="00000000" w:rsidRPr="00000000">
        <w:rPr>
          <w:rtl w:val="0"/>
        </w:rPr>
        <w:t xml:space="preserve">Annex 14a: Indicators</w:t>
      </w:r>
    </w:p>
    <w:p w:rsidR="00000000" w:rsidDel="00000000" w:rsidP="00000000" w:rsidRDefault="00000000" w:rsidRPr="00000000" w14:paraId="0000011A">
      <w:pPr>
        <w:spacing w:line="276" w:lineRule="auto"/>
        <w:rPr>
          <w:sz w:val="10"/>
          <w:szCs w:val="10"/>
        </w:rPr>
      </w:pPr>
      <w:r w:rsidDel="00000000" w:rsidR="00000000" w:rsidRPr="00000000">
        <w:rPr>
          <w:rtl w:val="0"/>
        </w:rPr>
      </w:r>
    </w:p>
    <w:p w:rsidR="00000000" w:rsidDel="00000000" w:rsidP="00000000" w:rsidRDefault="00000000" w:rsidRPr="00000000" w14:paraId="0000011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provides the following elements in their template for partners, and in this session and the next we will focus on the nature of the circled elements in gender transformative programming: indicators and data sources and collection methods.</w:t>
      </w:r>
    </w:p>
    <w:p w:rsidR="00000000" w:rsidDel="00000000" w:rsidP="00000000" w:rsidRDefault="00000000" w:rsidRPr="00000000" w14:paraId="0000011C">
      <w:pPr>
        <w:spacing w:line="276" w:lineRule="auto"/>
        <w:rPr>
          <w:rFonts w:ascii="Tahoma" w:cs="Tahoma" w:eastAsia="Tahoma" w:hAnsi="Tahoma"/>
          <w:sz w:val="20"/>
          <w:szCs w:val="20"/>
        </w:rPr>
      </w:pPr>
      <w:r w:rsidDel="00000000" w:rsidR="00000000" w:rsidRPr="00000000">
        <w:rPr>
          <w:rtl w:val="0"/>
        </w:rPr>
      </w:r>
    </w:p>
    <w:tbl>
      <w:tblPr>
        <w:tblStyle w:val="Table9"/>
        <w:tblW w:w="1276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430"/>
        <w:gridCol w:w="1701"/>
        <w:gridCol w:w="1418"/>
        <w:gridCol w:w="1559"/>
        <w:gridCol w:w="1701"/>
        <w:gridCol w:w="1843"/>
        <w:gridCol w:w="1559"/>
        <w:tblGridChange w:id="0">
          <w:tblGrid>
            <w:gridCol w:w="1555"/>
            <w:gridCol w:w="1430"/>
            <w:gridCol w:w="1701"/>
            <w:gridCol w:w="1418"/>
            <w:gridCol w:w="1559"/>
            <w:gridCol w:w="1701"/>
            <w:gridCol w:w="1843"/>
            <w:gridCol w:w="155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D">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1E">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Expected Result</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F">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0">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Indicator(s)</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1">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2">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Baseline Data</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3">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4">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Targets</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5">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6">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Data Sources</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7">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Data Collection Methods</w:t>
            </w:r>
          </w:p>
          <w:p w:rsidR="00000000" w:rsidDel="00000000" w:rsidP="00000000" w:rsidRDefault="00000000" w:rsidRPr="00000000" w14:paraId="00000128">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9">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A">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Frequency</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C">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Responsible</w:t>
            </w:r>
          </w:p>
        </w:tc>
      </w:tr>
      <w:tr>
        <w:trPr>
          <w:cantSplit w:val="0"/>
          <w:tblHeader w:val="0"/>
        </w:trPr>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2D">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Outcome or results statement</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2F">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What is being measured?</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31">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Where are you starting from?</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3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Where will you end up?</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35">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Where or who is the data coming from?</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37">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is it being collected?</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39">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often is this data being collected?</w:t>
            </w:r>
          </w:p>
        </w:tc>
        <w:tc>
          <w:tcPr>
            <w:tcBorders>
              <w:top w:color="000000" w:space="0" w:sz="0" w:val="nil"/>
              <w:left w:color="d9d9d9" w:space="0" w:sz="4" w:val="single"/>
              <w:bottom w:color="d9d9d9" w:space="0" w:sz="4" w:val="single"/>
              <w:right w:color="d9d9d9" w:space="0" w:sz="4" w:val="single"/>
            </w:tcBorders>
            <w:shd w:fill="f2f2f2" w:val="clear"/>
          </w:tcPr>
          <w:p w:rsidR="00000000" w:rsidDel="00000000" w:rsidP="00000000" w:rsidRDefault="00000000" w:rsidRPr="00000000" w14:paraId="0000013B">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Who is collecting the data?</w:t>
            </w:r>
          </w:p>
          <w:p w:rsidR="00000000" w:rsidDel="00000000" w:rsidP="00000000" w:rsidRDefault="00000000" w:rsidRPr="00000000" w14:paraId="0000013D">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0">
      <w:pPr>
        <w:spacing w:line="276" w:lineRule="auto"/>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What is an indicator?</w:t>
      </w:r>
    </w:p>
    <w:p w:rsidR="00000000" w:rsidDel="00000000" w:rsidP="00000000" w:rsidRDefault="00000000" w:rsidRPr="00000000" w14:paraId="00000141">
      <w:pPr>
        <w:spacing w:line="276" w:lineRule="auto"/>
        <w:rPr>
          <w:rFonts w:ascii="Tahoma" w:cs="Tahoma" w:eastAsia="Tahoma" w:hAnsi="Tahoma"/>
          <w:b w:val="1"/>
          <w:color w:val="993365"/>
          <w:sz w:val="10"/>
          <w:szCs w:val="10"/>
        </w:rPr>
      </w:pPr>
      <w:r w:rsidDel="00000000" w:rsidR="00000000" w:rsidRPr="00000000">
        <w:rPr>
          <w:rtl w:val="0"/>
        </w:rPr>
      </w:r>
    </w:p>
    <w:p w:rsidR="00000000" w:rsidDel="00000000" w:rsidP="00000000" w:rsidRDefault="00000000" w:rsidRPr="00000000" w14:paraId="0000014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Simply put, an indicator is a signal that shows change has happened. Quality indicators are built in a specific way and have specific attributes, and many of you will be familiar with the GAC definition of an indicator:</w:t>
      </w:r>
    </w:p>
    <w:p w:rsidR="00000000" w:rsidDel="00000000" w:rsidP="00000000" w:rsidRDefault="00000000" w:rsidRPr="00000000" w14:paraId="0000014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According to GAC, an indicator, also known as a performance indicator, is a means of measuring actual outcomes and outputs. It can be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qualitative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quantitative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and is composed of a unit of measure, a unit of analysis and a context. Indicators are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neutral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they neither indicate a direction of change, nor embed a target</w:t>
      </w:r>
    </w:p>
    <w:p w:rsidR="00000000" w:rsidDel="00000000" w:rsidP="00000000" w:rsidRDefault="00000000" w:rsidRPr="00000000" w14:paraId="00000145">
      <w:pPr>
        <w:rPr>
          <w:rFonts w:ascii="Tahoma" w:cs="Tahoma" w:eastAsia="Tahoma" w:hAnsi="Tahoma"/>
        </w:rPr>
      </w:pPr>
      <w:r w:rsidDel="00000000" w:rsidR="00000000" w:rsidRPr="00000000">
        <w:rPr>
          <w:rtl w:val="0"/>
        </w:rPr>
      </w:r>
    </w:p>
    <w:p w:rsidR="00000000" w:rsidDel="00000000" w:rsidP="00000000" w:rsidRDefault="00000000" w:rsidRPr="00000000" w14:paraId="00000146">
      <w:pPr>
        <w:rPr>
          <w:rFonts w:ascii="Tahoma" w:cs="Tahoma" w:eastAsia="Tahoma" w:hAnsi="Tahoma"/>
        </w:rPr>
      </w:pPr>
      <w:r w:rsidDel="00000000" w:rsidR="00000000" w:rsidRPr="00000000">
        <w:rPr>
          <w:rtl w:val="0"/>
        </w:rPr>
      </w:r>
    </w:p>
    <w:p w:rsidR="00000000" w:rsidDel="00000000" w:rsidP="00000000" w:rsidRDefault="00000000" w:rsidRPr="00000000" w14:paraId="00000147">
      <w:pPr>
        <w:rPr>
          <w:rFonts w:ascii="Tahoma" w:cs="Tahoma" w:eastAsia="Tahoma" w:hAnsi="Tahoma"/>
          <w:b w:val="1"/>
          <w:color w:val="3a4888"/>
          <w:sz w:val="22"/>
          <w:szCs w:val="22"/>
        </w:rPr>
      </w:pPr>
      <w:r w:rsidDel="00000000" w:rsidR="00000000" w:rsidRPr="00000000">
        <w:rPr>
          <w:rFonts w:ascii="Tahoma" w:cs="Tahoma" w:eastAsia="Tahoma" w:hAnsi="Tahoma"/>
          <w:b w:val="1"/>
          <w:color w:val="3a4888"/>
          <w:sz w:val="22"/>
          <w:szCs w:val="22"/>
          <w:rtl w:val="0"/>
        </w:rPr>
        <w:t xml:space="preserve">There are two types of indicators: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5" name=""/>
                <a:graphic>
                  <a:graphicData uri="http://schemas.microsoft.com/office/word/2010/wordprocessingShape">
                    <wps:wsp>
                      <wps:cNvSpPr/>
                      <wps:cNvPr id="19" name="Shape 1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5"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48">
      <w:pPr>
        <w:rPr>
          <w:rFonts w:ascii="Tahoma" w:cs="Tahoma" w:eastAsia="Tahoma" w:hAnsi="Tahoma"/>
          <w:b w:val="1"/>
          <w:color w:val="3a4888"/>
          <w:sz w:val="22"/>
          <w:szCs w:val="22"/>
        </w:rPr>
      </w:pPr>
      <w:r w:rsidDel="00000000" w:rsidR="00000000" w:rsidRPr="00000000">
        <w:rPr>
          <w:rtl w:val="0"/>
        </w:rPr>
      </w:r>
    </w:p>
    <w:tbl>
      <w:tblPr>
        <w:tblStyle w:val="Table10"/>
        <w:tblW w:w="1275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6"/>
        <w:gridCol w:w="10167"/>
        <w:tblGridChange w:id="0">
          <w:tblGrid>
            <w:gridCol w:w="2586"/>
            <w:gridCol w:w="1016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9">
            <w:pPr>
              <w:spacing w:line="276" w:lineRule="auto"/>
              <w:jc w:val="right"/>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14A">
            <w:pPr>
              <w:spacing w:line="276" w:lineRule="auto"/>
              <w:jc w:val="right"/>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Quantitative Indicators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Quantitative indicators are used to measure quantities or amounts. </w:t>
            </w:r>
          </w:p>
          <w:p w:rsidR="00000000" w:rsidDel="00000000" w:rsidP="00000000" w:rsidRDefault="00000000" w:rsidRPr="00000000" w14:paraId="0000014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They are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objectively verifiable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example: temperature, distance, middle upper-arm circumference, death rate, but also individual knowledge and skills.</w:t>
            </w:r>
          </w:p>
          <w:p w:rsidR="00000000" w:rsidDel="00000000" w:rsidP="00000000" w:rsidRDefault="00000000" w:rsidRPr="00000000" w14:paraId="0000014E">
            <w:pPr>
              <w:tabs>
                <w:tab w:val="left" w:leader="none" w:pos="4052"/>
              </w:tabs>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F">
            <w:pPr>
              <w:spacing w:line="276" w:lineRule="auto"/>
              <w:jc w:val="right"/>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150">
            <w:pPr>
              <w:spacing w:line="276" w:lineRule="auto"/>
              <w:jc w:val="right"/>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Qualitative Indicators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3"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Qualitative indicators are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subjective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They capture experiential information, such as the quality of something, or beneficiaries’ perception of their situation, their opinion or preferences.</w:t>
            </w:r>
          </w:p>
          <w:p w:rsidR="00000000" w:rsidDel="00000000" w:rsidP="00000000" w:rsidRDefault="00000000" w:rsidRPr="00000000" w14:paraId="0000015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3"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They also would measure an individual’s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perception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their own knowledge or skills.</w:t>
            </w:r>
          </w:p>
          <w:p w:rsidR="00000000" w:rsidDel="00000000" w:rsidP="00000000" w:rsidRDefault="00000000" w:rsidRPr="00000000" w14:paraId="00000154">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 </w:t>
      </w:r>
      <w:r w:rsidDel="00000000" w:rsidR="00000000" w:rsidRPr="00000000">
        <w:rPr>
          <w:rFonts w:ascii="Tahoma" w:cs="Tahoma" w:eastAsia="Tahoma" w:hAnsi="Tahoma"/>
          <w:b w:val="1"/>
          <w:color w:val="491a36"/>
          <w:sz w:val="20"/>
          <w:szCs w:val="20"/>
          <w:rtl w:val="0"/>
        </w:rPr>
        <w:t xml:space="preserve">indicator has 3 building blocks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57">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unit of measure</w:t>
      </w:r>
      <w:r w:rsidDel="00000000" w:rsidR="00000000" w:rsidRPr="00000000">
        <w:rPr>
          <w:rFonts w:ascii="Tahoma" w:cs="Tahoma" w:eastAsia="Tahoma" w:hAnsi="Tahoma"/>
          <w:b w:val="0"/>
          <w:i w:val="0"/>
          <w:smallCaps w:val="0"/>
          <w:strike w:val="0"/>
          <w:color w:val="993365"/>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number, percentage, level, ratio, etc.</w:t>
      </w:r>
    </w:p>
    <w:p w:rsidR="00000000" w:rsidDel="00000000" w:rsidP="00000000" w:rsidRDefault="00000000" w:rsidRPr="00000000" w14:paraId="0000015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unit of analysis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who or what will be observed: individuals, institutions, social artifacts or social groups</w:t>
      </w:r>
    </w:p>
    <w:p w:rsidR="00000000" w:rsidDel="00000000" w:rsidP="00000000" w:rsidRDefault="00000000" w:rsidRPr="00000000" w14:paraId="0000015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context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is the set of circumstances that specify the particular aspect of the output or outcome that the indicator is intended to measure. </w:t>
      </w:r>
    </w:p>
    <w:p w:rsidR="00000000" w:rsidDel="00000000" w:rsidP="00000000" w:rsidRDefault="00000000" w:rsidRPr="00000000" w14:paraId="0000015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indicator must always be developed or selected to </w:t>
      </w:r>
      <w:r w:rsidDel="00000000" w:rsidR="00000000" w:rsidRPr="00000000">
        <w:rPr>
          <w:rFonts w:ascii="Tahoma" w:cs="Tahoma" w:eastAsia="Tahoma" w:hAnsi="Tahoma"/>
          <w:b w:val="1"/>
          <w:color w:val="491a36"/>
          <w:sz w:val="20"/>
          <w:szCs w:val="20"/>
          <w:rtl w:val="0"/>
        </w:rPr>
        <w:t xml:space="preserve">effectively capture the level of change</w:t>
      </w:r>
      <w:r w:rsidDel="00000000" w:rsidR="00000000" w:rsidRPr="00000000">
        <w:rPr>
          <w:rFonts w:ascii="Tahoma" w:cs="Tahoma" w:eastAsia="Tahoma" w:hAnsi="Tahoma"/>
          <w:sz w:val="20"/>
          <w:szCs w:val="20"/>
          <w:rtl w:val="0"/>
        </w:rPr>
        <w:t xml:space="preserve"> of a result (transformative/aware/etc), and must </w:t>
      </w:r>
      <w:r w:rsidDel="00000000" w:rsidR="00000000" w:rsidRPr="00000000">
        <w:rPr>
          <w:rFonts w:ascii="Tahoma" w:cs="Tahoma" w:eastAsia="Tahoma" w:hAnsi="Tahoma"/>
          <w:b w:val="1"/>
          <w:color w:val="491a36"/>
          <w:sz w:val="20"/>
          <w:szCs w:val="20"/>
          <w:rtl w:val="0"/>
        </w:rPr>
        <w:t xml:space="preserve">always be gender sensitive</w:t>
      </w:r>
      <w:r w:rsidDel="00000000" w:rsidR="00000000" w:rsidRPr="00000000">
        <w:rPr>
          <w:rFonts w:ascii="Tahoma" w:cs="Tahoma" w:eastAsia="Tahoma" w:hAnsi="Tahoma"/>
          <w:sz w:val="20"/>
          <w:szCs w:val="20"/>
          <w:rtl w:val="0"/>
        </w:rPr>
        <w:t xml:space="preserve">, regardless of the level of change.  Gender sensitive is the </w:t>
      </w:r>
      <w:r w:rsidDel="00000000" w:rsidR="00000000" w:rsidRPr="00000000">
        <w:rPr>
          <w:rFonts w:ascii="Tahoma" w:cs="Tahoma" w:eastAsia="Tahoma" w:hAnsi="Tahoma"/>
          <w:i w:val="1"/>
          <w:sz w:val="20"/>
          <w:szCs w:val="20"/>
          <w:rtl w:val="0"/>
        </w:rPr>
        <w:t xml:space="preserve">minimum</w:t>
      </w:r>
      <w:r w:rsidDel="00000000" w:rsidR="00000000" w:rsidRPr="00000000">
        <w:rPr>
          <w:rFonts w:ascii="Tahoma" w:cs="Tahoma" w:eastAsia="Tahoma" w:hAnsi="Tahoma"/>
          <w:sz w:val="20"/>
          <w:szCs w:val="20"/>
          <w:rtl w:val="0"/>
        </w:rPr>
        <w:t xml:space="preserve"> level of gender integration.</w:t>
      </w:r>
    </w:p>
    <w:p w:rsidR="00000000" w:rsidDel="00000000" w:rsidP="00000000" w:rsidRDefault="00000000" w:rsidRPr="00000000" w14:paraId="0000015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D">
      <w:pPr>
        <w:spacing w:line="276"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What do we mean by this? </w:t>
      </w:r>
      <w:r w:rsidDel="00000000" w:rsidR="00000000" w:rsidRPr="00000000">
        <w:rPr>
          <w:rFonts w:ascii="Tahoma" w:cs="Tahoma" w:eastAsia="Tahoma" w:hAnsi="Tahoma"/>
          <w:sz w:val="20"/>
          <w:szCs w:val="20"/>
          <w:rtl w:val="0"/>
        </w:rPr>
        <w:t xml:space="preserve">When we talk about gender transformative results, in order to be </w:t>
      </w:r>
      <w:r w:rsidDel="00000000" w:rsidR="00000000" w:rsidRPr="00000000">
        <w:rPr>
          <w:rFonts w:ascii="Tahoma" w:cs="Tahoma" w:eastAsia="Tahoma" w:hAnsi="Tahoma"/>
          <w:b w:val="1"/>
          <w:color w:val="491a36"/>
          <w:sz w:val="20"/>
          <w:szCs w:val="20"/>
          <w:rtl w:val="0"/>
        </w:rPr>
        <w:t xml:space="preserve">effective</w:t>
      </w:r>
      <w:r w:rsidDel="00000000" w:rsidR="00000000" w:rsidRPr="00000000">
        <w:rPr>
          <w:rFonts w:ascii="Tahoma" w:cs="Tahoma" w:eastAsia="Tahoma" w:hAnsi="Tahoma"/>
          <w:sz w:val="20"/>
          <w:szCs w:val="20"/>
          <w:rtl w:val="0"/>
        </w:rPr>
        <w:t xml:space="preserve">, we want to measure changes in attitudes and perceptions about the value of women and girls, and their agency and decision making. Most outcomes have multiple indicators and will include some that are quantitative and some that are qualitative.</w:t>
      </w:r>
    </w:p>
    <w:p w:rsidR="00000000" w:rsidDel="00000000" w:rsidP="00000000" w:rsidRDefault="00000000" w:rsidRPr="00000000" w14:paraId="0000015E">
      <w:pPr>
        <w:spacing w:line="276"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15F">
      <w:pPr>
        <w:spacing w:line="276" w:lineRule="auto"/>
        <w:rPr>
          <w:rFonts w:ascii="Tahoma" w:cs="Tahoma" w:eastAsia="Tahoma" w:hAnsi="Tahoma"/>
          <w:sz w:val="22"/>
          <w:szCs w:val="22"/>
        </w:rPr>
      </w:pPr>
      <w:r w:rsidDel="00000000" w:rsidR="00000000" w:rsidRPr="00000000">
        <w:rPr>
          <w:rFonts w:ascii="Tahoma" w:cs="Tahoma" w:eastAsia="Tahoma" w:hAnsi="Tahoma"/>
          <w:b w:val="1"/>
          <w:color w:val="3a4888"/>
          <w:sz w:val="22"/>
          <w:szCs w:val="22"/>
          <w:rtl w:val="0"/>
        </w:rPr>
        <w:t xml:space="preserve">Gender Sensitive indicators</w:t>
      </w:r>
      <w:r w:rsidDel="00000000" w:rsidR="00000000" w:rsidRPr="00000000">
        <w:rPr>
          <w:rFonts w:ascii="Tahoma" w:cs="Tahoma" w:eastAsia="Tahoma" w:hAnsi="Tahoma"/>
          <w:color w:val="3a4888"/>
          <w:sz w:val="22"/>
          <w:szCs w:val="22"/>
          <w:rtl w:val="0"/>
        </w:rPr>
        <w:t xml:space="preserve"> </w:t>
      </w:r>
      <w:r w:rsidDel="00000000" w:rsidR="00000000" w:rsidRPr="00000000">
        <w:rPr>
          <w:rFonts w:ascii="Tahoma" w:cs="Tahoma" w:eastAsia="Tahoma" w:hAnsi="Tahoma"/>
          <w:sz w:val="22"/>
          <w:szCs w:val="22"/>
          <w:rtl w:val="0"/>
        </w:rPr>
        <w:t xml:space="preserve">do the following:</w:t>
      </w:r>
    </w:p>
    <w:p w:rsidR="00000000" w:rsidDel="00000000" w:rsidP="00000000" w:rsidRDefault="00000000" w:rsidRPr="00000000" w14:paraId="0000016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Disaggregate by sex and age</w:t>
      </w:r>
    </w:p>
    <w:p w:rsidR="00000000" w:rsidDel="00000000" w:rsidP="00000000" w:rsidRDefault="00000000" w:rsidRPr="00000000" w14:paraId="0000016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Disaggregate by other relevant factors of intersectionality</w:t>
      </w:r>
    </w:p>
    <w:p w:rsidR="00000000" w:rsidDel="00000000" w:rsidP="00000000" w:rsidRDefault="00000000" w:rsidRPr="00000000" w14:paraId="0000016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 language that describes in gendered detail the unit of analysis</w:t>
      </w:r>
    </w:p>
    <w:p w:rsidR="00000000" w:rsidDel="00000000" w:rsidP="00000000" w:rsidRDefault="00000000" w:rsidRPr="00000000" w14:paraId="0000016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76" w:lineRule="auto"/>
        <w:ind w:left="709"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 language that incudes gender-related elements of the context</w:t>
      </w:r>
      <w:r w:rsidDel="00000000" w:rsidR="00000000" w:rsidRPr="00000000">
        <w:rPr>
          <w:rtl w:val="0"/>
        </w:rPr>
      </w:r>
    </w:p>
    <w:p w:rsidR="00000000" w:rsidDel="00000000" w:rsidP="00000000" w:rsidRDefault="00000000" w:rsidRPr="00000000" w14:paraId="00000165">
      <w:pPr>
        <w:pStyle w:val="Heading2"/>
        <w:rPr/>
      </w:pPr>
      <w:bookmarkStart w:colFirst="0" w:colLast="0" w:name="_heading=h.26in1rg" w:id="15"/>
      <w:bookmarkEnd w:id="15"/>
      <w:r w:rsidDel="00000000" w:rsidR="00000000" w:rsidRPr="00000000">
        <w:rPr>
          <w:rtl w:val="0"/>
        </w:rPr>
        <w:t xml:space="preserve">Activity 14.1 Instructions: Quality Indicators for Gender Equality Outcomes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8" name=""/>
                <a:graphic>
                  <a:graphicData uri="http://schemas.microsoft.com/office/word/2010/wordprocessingShape">
                    <wps:wsp>
                      <wps:cNvSpPr/>
                      <wps:cNvPr id="12" name="Shape 1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8"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6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Using the Logic Models and outcome statements created in previous sessions, you are to develop quality indicators for one immediate and one intermediate outcome that capture gender equality changes in an effective way with your problem analysis groups.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have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30 minutes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think of your indicators with your groups. Please see </w:t>
      </w:r>
      <w:hyperlink w:anchor="_heading=h.3rdcrjn">
        <w:r w:rsidDel="00000000" w:rsidR="00000000" w:rsidRPr="00000000">
          <w:rPr>
            <w:rFonts w:ascii="Tahoma" w:cs="Tahoma" w:eastAsia="Tahoma" w:hAnsi="Tahoma"/>
            <w:b w:val="1"/>
            <w:i w:val="0"/>
            <w:smallCaps w:val="0"/>
            <w:strike w:val="0"/>
            <w:color w:val="63763e"/>
            <w:sz w:val="20"/>
            <w:szCs w:val="20"/>
            <w:u w:val="single"/>
            <w:shd w:fill="auto" w:val="clear"/>
            <w:vertAlign w:val="baseline"/>
            <w:rtl w:val="0"/>
          </w:rPr>
          <w:t xml:space="preserve">Annex 14a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further information on quality indicators for GE outcomes. You will input your indicators directly into the Google Excel Sheet in which your Logic Model lives. </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ff0000"/>
          <w:sz w:val="20"/>
          <w:szCs w:val="20"/>
          <w:rtl w:val="0"/>
        </w:rPr>
        <w:t xml:space="preserve">Link to be created by facilitator</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pPr w:leftFromText="180" w:rightFromText="180" w:topFromText="0" w:bottomFromText="0" w:vertAnchor="text" w:horzAnchor="text" w:tblpX="597.5" w:tblpY="151"/>
        <w:tblW w:w="11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3969"/>
        <w:gridCol w:w="3968"/>
        <w:tblGridChange w:id="0">
          <w:tblGrid>
            <w:gridCol w:w="3828"/>
            <w:gridCol w:w="3969"/>
            <w:gridCol w:w="396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6B">
            <w:pPr>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6C">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16D">
            <w:pPr>
              <w:jc w:val="center"/>
              <w:rPr>
                <w:rFonts w:ascii="Tahoma" w:cs="Tahoma" w:eastAsia="Tahoma" w:hAnsi="Tahoma"/>
                <w:b w:val="1"/>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6E">
            <w:pPr>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6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170">
            <w:pPr>
              <w:jc w:val="center"/>
              <w:rPr>
                <w:rFonts w:ascii="Tahoma" w:cs="Tahoma" w:eastAsia="Tahoma" w:hAnsi="Tahoma"/>
                <w:b w:val="1"/>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71">
            <w:pPr>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72">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173">
            <w:pPr>
              <w:jc w:val="center"/>
              <w:rPr>
                <w:rFonts w:ascii="Tahoma" w:cs="Tahoma" w:eastAsia="Tahoma" w:hAnsi="Tahoma"/>
                <w:b w:val="1"/>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7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176">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177">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78">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179">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17A">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7B">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17D">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17E">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7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180">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181">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8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184">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185">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8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187">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188">
            <w:pPr>
              <w:rPr>
                <w:rFonts w:ascii="Tahoma" w:cs="Tahoma" w:eastAsia="Tahoma" w:hAnsi="Tahoma"/>
                <w:b w:val="1"/>
                <w:sz w:val="20"/>
                <w:szCs w:val="20"/>
              </w:rPr>
            </w:pPr>
            <w:r w:rsidDel="00000000" w:rsidR="00000000" w:rsidRPr="00000000">
              <w:rPr>
                <w:rtl w:val="0"/>
              </w:rPr>
            </w:r>
          </w:p>
        </w:tc>
      </w:tr>
      <w:tr>
        <w:trPr>
          <w:cantSplit w:val="0"/>
          <w:trHeight w:val="214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9">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92">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9B">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A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6">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1B7">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1B8">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1B9">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1BA">
      <w:pPr>
        <w:rPr>
          <w:rFonts w:ascii="Tahoma" w:cs="Tahoma" w:eastAsia="Tahoma" w:hAnsi="Tahoma"/>
          <w:b w:val="1"/>
          <w:color w:val="3a4888"/>
          <w:sz w:val="10"/>
          <w:szCs w:val="10"/>
        </w:rPr>
      </w:pPr>
      <w:r w:rsidDel="00000000" w:rsidR="00000000" w:rsidRPr="00000000">
        <w:rPr>
          <w:rFonts w:ascii="Tahoma" w:cs="Tahoma" w:eastAsia="Tahoma" w:hAnsi="Tahoma"/>
          <w:b w:val="1"/>
          <w:color w:val="993365"/>
          <w:sz w:val="20"/>
          <w:szCs w:val="20"/>
          <w:rtl w:val="0"/>
        </w:rPr>
        <w:t xml:space="preserve">Helpful Note:</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851"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outcome can have multiple indicators! For example, an outcome related to improved sexual and reproductive health could have an indicator on reduced teenage pregnancy rates, increased household decision making, and reduced incidents of sexual and gender-based violence.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B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851"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are no PERFECT indicators – and this is not an M&amp;E training.  Groups should focus on capturing the gender transformative change they’ve described in their outcome statements.</w:t>
      </w:r>
    </w:p>
    <w:tbl>
      <w:tblPr>
        <w:tblStyle w:val="Table12"/>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1BD">
            <w:pPr>
              <w:pStyle w:val="Heading1"/>
              <w:rPr/>
            </w:pPr>
            <w:bookmarkStart w:colFirst="0" w:colLast="0" w:name="_heading=h.lnxbz9" w:id="16"/>
            <w:bookmarkEnd w:id="16"/>
            <w:r w:rsidDel="00000000" w:rsidR="00000000" w:rsidRPr="00000000">
              <w:rPr>
                <w:rtl w:val="0"/>
              </w:rPr>
              <w:t xml:space="preserve">Session 15: Data Collection Tools and Sources for Gender Equality Indicators</w:t>
            </w:r>
          </w:p>
        </w:tc>
      </w:tr>
    </w:tbl>
    <w:p w:rsidR="00000000" w:rsidDel="00000000" w:rsidP="00000000" w:rsidRDefault="00000000" w:rsidRPr="00000000" w14:paraId="000001BE">
      <w:pPr>
        <w:pStyle w:val="Heading2"/>
        <w:rPr/>
      </w:pPr>
      <w:bookmarkStart w:colFirst="0" w:colLast="0" w:name="_heading=h.1ksv4uv" w:id="17"/>
      <w:bookmarkEnd w:id="17"/>
      <w:r w:rsidDel="00000000" w:rsidR="00000000" w:rsidRPr="00000000">
        <w:rPr>
          <w:rtl w:val="0"/>
        </w:rPr>
        <w:t xml:space="preserve">Activity 15.1 Instructions: Data Sources and Methodologies</w:t>
      </w:r>
    </w:p>
    <w:p w:rsidR="00000000" w:rsidDel="00000000" w:rsidP="00000000" w:rsidRDefault="00000000" w:rsidRPr="00000000" w14:paraId="000001BF">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 will have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20 minutes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identify the data sources and methodologies for your project’s indicators. Utilize </w:t>
      </w:r>
      <w:hyperlink w:anchor="_heading=h.44sinio">
        <w:r w:rsidDel="00000000" w:rsidR="00000000" w:rsidRPr="00000000">
          <w:rPr>
            <w:rFonts w:ascii="Tahoma" w:cs="Tahoma" w:eastAsia="Tahoma" w:hAnsi="Tahoma"/>
            <w:b w:val="1"/>
            <w:i w:val="0"/>
            <w:smallCaps w:val="0"/>
            <w:strike w:val="0"/>
            <w:color w:val="63763e"/>
            <w:sz w:val="20"/>
            <w:szCs w:val="20"/>
            <w:u w:val="single"/>
            <w:shd w:fill="auto" w:val="clear"/>
            <w:vertAlign w:val="baseline"/>
            <w:rtl w:val="0"/>
          </w:rPr>
          <w:t xml:space="preserve">Annex 15a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examples of data sources and methodologies if you need a starting point!</w:t>
      </w:r>
    </w:p>
    <w:p w:rsidR="00000000" w:rsidDel="00000000" w:rsidP="00000000" w:rsidRDefault="00000000" w:rsidRPr="00000000" w14:paraId="000001C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be put into Zoom break-out rooms, and you are to have a plenary discussion with your group. You do not need to worry about capturing your discussion on an online platform. Just enjoy the discussion with your group! </w:t>
      </w:r>
    </w:p>
    <w:p w:rsidR="00000000" w:rsidDel="00000000" w:rsidP="00000000" w:rsidRDefault="00000000" w:rsidRPr="00000000" w14:paraId="000001C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 prepared to share one or two examples.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3" name=""/>
                <a:graphic>
                  <a:graphicData uri="http://schemas.microsoft.com/office/word/2010/wordprocessingShape">
                    <wps:wsp>
                      <wps:cNvSpPr/>
                      <wps:cNvPr id="7" name="Shape 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354965" cy="1510030"/>
                        </a:xfrm>
                        <a:prstGeom prst="rect"/>
                        <a:ln/>
                      </pic:spPr>
                    </pic:pic>
                  </a:graphicData>
                </a:graphic>
              </wp:anchor>
            </w:drawing>
          </mc:Fallback>
        </mc:AlternateContent>
      </w:r>
    </w:p>
    <w:tbl>
      <w:tblPr>
        <w:tblStyle w:val="Table13"/>
        <w:tblpPr w:leftFromText="180" w:rightFromText="180" w:topFromText="0" w:bottomFromText="0" w:vertAnchor="text" w:horzAnchor="text" w:tblpX="597.5" w:tblpY="153"/>
        <w:tblW w:w="11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9"/>
        <w:gridCol w:w="3969"/>
        <w:gridCol w:w="3827"/>
        <w:tblGridChange w:id="0">
          <w:tblGrid>
            <w:gridCol w:w="3969"/>
            <w:gridCol w:w="3969"/>
            <w:gridCol w:w="3827"/>
          </w:tblGrid>
        </w:tblGridChange>
      </w:tblGrid>
      <w:tr>
        <w:trPr>
          <w:cantSplit w:val="0"/>
          <w:trHeight w:val="541.640625" w:hRule="atLeast"/>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C3">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4">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1C5">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C6">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7">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1C8">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C9">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A">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1CB">
            <w:pPr>
              <w:jc w:val="center"/>
              <w:rPr>
                <w:rFonts w:ascii="Tahoma" w:cs="Tahoma" w:eastAsia="Tahoma" w:hAnsi="Tahoma"/>
                <w:b w:val="1"/>
                <w:sz w:val="22"/>
                <w:szCs w:val="22"/>
              </w:rPr>
            </w:pPr>
            <w:r w:rsidDel="00000000" w:rsidR="00000000" w:rsidRPr="00000000">
              <w:rPr>
                <w:rtl w:val="0"/>
              </w:rPr>
            </w:r>
          </w:p>
        </w:tc>
      </w:tr>
      <w:tr>
        <w:trPr>
          <w:cantSplit w:val="0"/>
          <w:trHeight w:val="1524.8437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C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C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1CE">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1CF">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D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1D1">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1D2">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D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D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1D5">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1D6">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D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1D8">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1D9">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D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D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1DC">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1DD">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D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1DF">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1E0">
            <w:pPr>
              <w:rPr>
                <w:rFonts w:ascii="Tahoma" w:cs="Tahoma" w:eastAsia="Tahoma" w:hAnsi="Tahoma"/>
                <w:b w:val="1"/>
                <w:sz w:val="20"/>
                <w:szCs w:val="20"/>
              </w:rPr>
            </w:pPr>
            <w:r w:rsidDel="00000000" w:rsidR="00000000" w:rsidRPr="00000000">
              <w:rPr>
                <w:rtl w:val="0"/>
              </w:rPr>
            </w:r>
          </w:p>
        </w:tc>
      </w:tr>
      <w:tr>
        <w:trPr>
          <w:cantSplit w:val="0"/>
          <w:trHeight w:val="226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E1">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E9">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F1">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D">
      <w:pPr>
        <w:rPr>
          <w:rFonts w:ascii="Tahoma" w:cs="Tahoma" w:eastAsia="Tahoma" w:hAnsi="Tahoma"/>
        </w:rPr>
      </w:pPr>
      <w:r w:rsidDel="00000000" w:rsidR="00000000" w:rsidRPr="00000000">
        <w:rPr>
          <w:rtl w:val="0"/>
        </w:rPr>
      </w:r>
    </w:p>
    <w:p w:rsidR="00000000" w:rsidDel="00000000" w:rsidP="00000000" w:rsidRDefault="00000000" w:rsidRPr="00000000" w14:paraId="000001FE">
      <w:pPr>
        <w:pStyle w:val="Heading2"/>
        <w:rPr/>
      </w:pPr>
      <w:r w:rsidDel="00000000" w:rsidR="00000000" w:rsidRPr="00000000">
        <w:rPr>
          <w:rtl w:val="0"/>
        </w:rPr>
      </w:r>
    </w:p>
    <w:p w:rsidR="00000000" w:rsidDel="00000000" w:rsidP="00000000" w:rsidRDefault="00000000" w:rsidRPr="00000000" w14:paraId="000001FF">
      <w:pPr>
        <w:pStyle w:val="Heading2"/>
        <w:rPr/>
      </w:pPr>
      <w:bookmarkStart w:colFirst="0" w:colLast="0" w:name="_heading=h.44sinio" w:id="18"/>
      <w:bookmarkEnd w:id="18"/>
      <w:r w:rsidDel="00000000" w:rsidR="00000000" w:rsidRPr="00000000">
        <w:rPr>
          <w:rtl w:val="0"/>
        </w:rPr>
      </w:r>
    </w:p>
    <w:p w:rsidR="00000000" w:rsidDel="00000000" w:rsidP="00000000" w:rsidRDefault="00000000" w:rsidRPr="00000000" w14:paraId="00000200">
      <w:pPr>
        <w:rPr>
          <w:rFonts w:ascii="Tahoma" w:cs="Tahoma" w:eastAsia="Tahoma" w:hAnsi="Tahoma"/>
        </w:rPr>
      </w:pPr>
      <w:r w:rsidDel="00000000" w:rsidR="00000000" w:rsidRPr="00000000">
        <w:rPr>
          <w:rtl w:val="0"/>
        </w:rPr>
      </w:r>
    </w:p>
    <w:p w:rsidR="00000000" w:rsidDel="00000000" w:rsidP="00000000" w:rsidRDefault="00000000" w:rsidRPr="00000000" w14:paraId="00000201">
      <w:pPr>
        <w:rPr>
          <w:rFonts w:ascii="Tahoma" w:cs="Tahoma" w:eastAsia="Tahoma" w:hAnsi="Tahoma"/>
        </w:rPr>
      </w:pPr>
      <w:r w:rsidDel="00000000" w:rsidR="00000000" w:rsidRPr="00000000">
        <w:rPr>
          <w:rtl w:val="0"/>
        </w:rPr>
      </w:r>
    </w:p>
    <w:p w:rsidR="00000000" w:rsidDel="00000000" w:rsidP="00000000" w:rsidRDefault="00000000" w:rsidRPr="00000000" w14:paraId="00000202">
      <w:pPr>
        <w:rPr>
          <w:rFonts w:ascii="Tahoma" w:cs="Tahoma" w:eastAsia="Tahoma" w:hAnsi="Tahoma"/>
        </w:rPr>
      </w:pPr>
      <w:r w:rsidDel="00000000" w:rsidR="00000000" w:rsidRPr="00000000">
        <w:rPr>
          <w:rtl w:val="0"/>
        </w:rPr>
      </w:r>
    </w:p>
    <w:p w:rsidR="00000000" w:rsidDel="00000000" w:rsidP="00000000" w:rsidRDefault="00000000" w:rsidRPr="00000000" w14:paraId="00000203">
      <w:pPr>
        <w:rPr>
          <w:rFonts w:ascii="Tahoma" w:cs="Tahoma" w:eastAsia="Tahoma" w:hAnsi="Tahoma"/>
        </w:rPr>
      </w:pPr>
      <w:r w:rsidDel="00000000" w:rsidR="00000000" w:rsidRPr="00000000">
        <w:rPr>
          <w:rtl w:val="0"/>
        </w:rPr>
      </w:r>
    </w:p>
    <w:p w:rsidR="00000000" w:rsidDel="00000000" w:rsidP="00000000" w:rsidRDefault="00000000" w:rsidRPr="00000000" w14:paraId="00000204">
      <w:pPr>
        <w:pStyle w:val="Heading3"/>
        <w:rPr/>
      </w:pPr>
      <w:bookmarkStart w:colFirst="0" w:colLast="0" w:name="_heading=h.2jxsxqh" w:id="19"/>
      <w:bookmarkEnd w:id="19"/>
      <w:r w:rsidDel="00000000" w:rsidR="00000000" w:rsidRPr="00000000">
        <w:rPr>
          <w:rtl w:val="0"/>
        </w:rPr>
      </w:r>
    </w:p>
    <w:p w:rsidR="00000000" w:rsidDel="00000000" w:rsidP="00000000" w:rsidRDefault="00000000" w:rsidRPr="00000000" w14:paraId="00000205">
      <w:pPr>
        <w:pStyle w:val="Heading3"/>
        <w:rPr/>
      </w:pPr>
      <w:r w:rsidDel="00000000" w:rsidR="00000000" w:rsidRPr="00000000">
        <w:rPr>
          <w:rtl w:val="0"/>
        </w:rPr>
      </w:r>
    </w:p>
    <w:p w:rsidR="00000000" w:rsidDel="00000000" w:rsidP="00000000" w:rsidRDefault="00000000" w:rsidRPr="00000000" w14:paraId="00000206">
      <w:pPr>
        <w:pStyle w:val="Heading3"/>
        <w:rPr/>
      </w:pPr>
      <w:r w:rsidDel="00000000" w:rsidR="00000000" w:rsidRPr="00000000">
        <w:rPr>
          <w:rtl w:val="0"/>
        </w:rPr>
      </w:r>
    </w:p>
    <w:p w:rsidR="00000000" w:rsidDel="00000000" w:rsidP="00000000" w:rsidRDefault="00000000" w:rsidRPr="00000000" w14:paraId="00000207">
      <w:pPr>
        <w:pStyle w:val="Heading3"/>
        <w:rPr/>
      </w:pPr>
      <w:r w:rsidDel="00000000" w:rsidR="00000000" w:rsidRPr="00000000">
        <w:rPr>
          <w:rtl w:val="0"/>
        </w:rPr>
      </w:r>
    </w:p>
    <w:p w:rsidR="00000000" w:rsidDel="00000000" w:rsidP="00000000" w:rsidRDefault="00000000" w:rsidRPr="00000000" w14:paraId="00000208">
      <w:pPr>
        <w:pStyle w:val="Heading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201910</wp:posOffset>
                </wp:positionV>
                <wp:extent cx="8238977" cy="828922"/>
                <wp:effectExtent b="0" l="0" r="0" t="0"/>
                <wp:wrapNone/>
                <wp:docPr id="229" name=""/>
                <a:graphic>
                  <a:graphicData uri="http://schemas.microsoft.com/office/word/2010/wordprocessingShape">
                    <wps:wsp>
                      <wps:cNvSpPr/>
                      <wps:cNvPr id="13" name="Shape 13"/>
                      <wps:spPr>
                        <a:xfrm>
                          <a:off x="1231274" y="3370302"/>
                          <a:ext cx="8229452" cy="819397"/>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000000"/>
                                <w:sz w:val="20"/>
                                <w:vertAlign w:val="baseline"/>
                              </w:rPr>
                              <w:t xml:space="preserve"> 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201910</wp:posOffset>
                </wp:positionV>
                <wp:extent cx="8238977" cy="828922"/>
                <wp:effectExtent b="0" l="0" r="0" t="0"/>
                <wp:wrapNone/>
                <wp:docPr id="229"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8238977" cy="828922"/>
                        </a:xfrm>
                        <a:prstGeom prst="rect"/>
                        <a:ln/>
                      </pic:spPr>
                    </pic:pic>
                  </a:graphicData>
                </a:graphic>
              </wp:anchor>
            </w:drawing>
          </mc:Fallback>
        </mc:AlternateConten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pStyle w:val="Heading3"/>
        <w:rPr/>
      </w:pPr>
      <w:bookmarkStart w:colFirst="0" w:colLast="0" w:name="_heading=h.z337ya" w:id="20"/>
      <w:bookmarkEnd w:id="20"/>
      <w:r w:rsidDel="00000000" w:rsidR="00000000" w:rsidRPr="00000000">
        <w:rPr>
          <w:rtl w:val="0"/>
        </w:rPr>
        <w:t xml:space="preserve">Annex 15a: Data Sources and Data Collection Methodologies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4" name=""/>
                <a:graphic>
                  <a:graphicData uri="http://schemas.microsoft.com/office/word/2010/wordprocessingShape">
                    <wps:wsp>
                      <wps:cNvSpPr/>
                      <wps:cNvPr id="18" name="Shape 1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4"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0B">
      <w:pPr>
        <w:rPr/>
      </w:pPr>
      <w:r w:rsidDel="00000000" w:rsidR="00000000" w:rsidRPr="00000000">
        <w:rPr>
          <w:rtl w:val="0"/>
        </w:rPr>
      </w:r>
    </w:p>
    <w:tbl>
      <w:tblPr>
        <w:tblStyle w:val="Table1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0828"/>
        <w:tblGridChange w:id="0">
          <w:tblGrid>
            <w:gridCol w:w="2122"/>
            <w:gridCol w:w="1082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20C">
            <w:pPr>
              <w:jc w:val="center"/>
              <w:rPr>
                <w:rFonts w:ascii="Tahoma" w:cs="Tahoma" w:eastAsia="Tahoma" w:hAnsi="Tahoma"/>
                <w:b w:val="1"/>
                <w:sz w:val="15"/>
                <w:szCs w:val="15"/>
              </w:rPr>
            </w:pPr>
            <w:r w:rsidDel="00000000" w:rsidR="00000000" w:rsidRPr="00000000">
              <w:rPr>
                <w:rtl w:val="0"/>
              </w:rPr>
            </w:r>
          </w:p>
          <w:p w:rsidR="00000000" w:rsidDel="00000000" w:rsidP="00000000" w:rsidRDefault="00000000" w:rsidRPr="00000000" w14:paraId="0000020D">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Data Sources: “Is this first hand information, or second hand information?”</w:t>
            </w:r>
          </w:p>
          <w:p w:rsidR="00000000" w:rsidDel="00000000" w:rsidP="00000000" w:rsidRDefault="00000000" w:rsidRPr="00000000" w14:paraId="0000020E">
            <w:pPr>
              <w:jc w:val="center"/>
              <w:rPr>
                <w:rFonts w:ascii="Tahoma" w:cs="Tahoma" w:eastAsia="Tahoma" w:hAnsi="Tahoma"/>
                <w:b w:val="1"/>
                <w:sz w:val="15"/>
                <w:szCs w:val="15"/>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0">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11">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Primary</w:t>
            </w:r>
          </w:p>
        </w:tc>
        <w:tc>
          <w:tcPr>
            <w:tcBorders>
              <w:top w:color="000000" w:space="0" w:sz="0" w:val="nil"/>
              <w:left w:color="000000" w:space="0" w:sz="0" w:val="nil"/>
              <w:bottom w:color="d0cece" w:space="0" w:sz="4" w:val="single"/>
              <w:right w:color="000000" w:space="0" w:sz="0" w:val="nil"/>
            </w:tcBorders>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(individuals)</w:t>
            </w:r>
          </w:p>
          <w:p w:rsidR="00000000" w:rsidDel="00000000" w:rsidP="00000000" w:rsidRDefault="00000000" w:rsidRPr="00000000" w14:paraId="00000214">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Intermediaries</w:t>
            </w:r>
          </w:p>
          <w:p w:rsidR="00000000" w:rsidDel="00000000" w:rsidP="00000000" w:rsidRDefault="00000000" w:rsidRPr="00000000" w14:paraId="00000215">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Government documents (policies, program documents, proclamations, etc.)</w:t>
            </w:r>
          </w:p>
          <w:p w:rsidR="00000000" w:rsidDel="00000000" w:rsidP="00000000" w:rsidRDefault="00000000" w:rsidRPr="00000000" w14:paraId="00000216">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Institutional/organizational records</w:t>
            </w:r>
          </w:p>
          <w:p w:rsidR="00000000" w:rsidDel="00000000" w:rsidP="00000000" w:rsidRDefault="00000000" w:rsidRPr="00000000" w14:paraId="00000217">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Photographs or artifacts</w:t>
            </w:r>
          </w:p>
          <w:p w:rsidR="00000000" w:rsidDel="00000000" w:rsidP="00000000" w:rsidRDefault="00000000" w:rsidRPr="00000000" w14:paraId="00000218">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Physical environment</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9">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1A">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Secondary</w:t>
            </w:r>
          </w:p>
        </w:tc>
        <w:tc>
          <w:tcPr>
            <w:tcBorders>
              <w:top w:color="d0cece" w:space="0" w:sz="4" w:val="single"/>
              <w:left w:color="000000" w:space="0" w:sz="0" w:val="nil"/>
              <w:bottom w:color="000000" w:space="0" w:sz="0" w:val="nil"/>
              <w:right w:color="000000" w:space="0" w:sz="0" w:val="nil"/>
            </w:tcBorders>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Demographic health survey data </w:t>
            </w:r>
          </w:p>
          <w:p w:rsidR="00000000" w:rsidDel="00000000" w:rsidP="00000000" w:rsidRDefault="00000000" w:rsidRPr="00000000" w14:paraId="0000021D">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Human development report</w:t>
            </w:r>
          </w:p>
          <w:p w:rsidR="00000000" w:rsidDel="00000000" w:rsidP="00000000" w:rsidRDefault="00000000" w:rsidRPr="00000000" w14:paraId="0000021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Global Peace Index</w:t>
            </w:r>
          </w:p>
          <w:p w:rsidR="00000000" w:rsidDel="00000000" w:rsidP="00000000" w:rsidRDefault="00000000" w:rsidRPr="00000000" w14:paraId="0000021F">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Peer reviewed research</w:t>
            </w:r>
          </w:p>
          <w:p w:rsidR="00000000" w:rsidDel="00000000" w:rsidP="00000000" w:rsidRDefault="00000000" w:rsidRPr="00000000" w14:paraId="00000220">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Reports from community of practice</w:t>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221">
            <w:pPr>
              <w:jc w:val="center"/>
              <w:rPr>
                <w:rFonts w:ascii="Tahoma" w:cs="Tahoma" w:eastAsia="Tahoma" w:hAnsi="Tahoma"/>
                <w:b w:val="1"/>
                <w:sz w:val="15"/>
                <w:szCs w:val="15"/>
              </w:rPr>
            </w:pPr>
            <w:r w:rsidDel="00000000" w:rsidR="00000000" w:rsidRPr="00000000">
              <w:rPr>
                <w:rtl w:val="0"/>
              </w:rPr>
            </w:r>
          </w:p>
          <w:p w:rsidR="00000000" w:rsidDel="00000000" w:rsidP="00000000" w:rsidRDefault="00000000" w:rsidRPr="00000000" w14:paraId="00000222">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Data Collection Methods</w:t>
            </w:r>
          </w:p>
          <w:p w:rsidR="00000000" w:rsidDel="00000000" w:rsidP="00000000" w:rsidRDefault="00000000" w:rsidRPr="00000000" w14:paraId="00000223">
            <w:pPr>
              <w:jc w:val="center"/>
              <w:rPr>
                <w:rFonts w:ascii="Tahoma" w:cs="Tahoma" w:eastAsia="Tahoma" w:hAnsi="Tahoma"/>
                <w:b w:val="1"/>
                <w:sz w:val="15"/>
                <w:szCs w:val="15"/>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Surveys</w:t>
            </w:r>
          </w:p>
          <w:p w:rsidR="00000000" w:rsidDel="00000000" w:rsidP="00000000" w:rsidRDefault="00000000" w:rsidRPr="00000000" w14:paraId="0000022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Focus Group Discussions</w:t>
            </w:r>
          </w:p>
          <w:p w:rsidR="00000000" w:rsidDel="00000000" w:rsidP="00000000" w:rsidRDefault="00000000" w:rsidRPr="00000000" w14:paraId="00000228">
            <w:pPr>
              <w:numPr>
                <w:ilvl w:val="0"/>
                <w:numId w:val="54"/>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Guided Observation</w:t>
            </w:r>
          </w:p>
          <w:p w:rsidR="00000000" w:rsidDel="00000000" w:rsidP="00000000" w:rsidRDefault="00000000" w:rsidRPr="00000000" w14:paraId="00000229">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Conversation with concerned individuals</w:t>
            </w:r>
          </w:p>
          <w:p w:rsidR="00000000" w:rsidDel="00000000" w:rsidP="00000000" w:rsidRDefault="00000000" w:rsidRPr="00000000" w14:paraId="0000022A">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Most significant change</w:t>
            </w:r>
          </w:p>
          <w:p w:rsidR="00000000" w:rsidDel="00000000" w:rsidP="00000000" w:rsidRDefault="00000000" w:rsidRPr="00000000" w14:paraId="0000022B">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Field visits/observation</w:t>
            </w:r>
          </w:p>
          <w:p w:rsidR="00000000" w:rsidDel="00000000" w:rsidP="00000000" w:rsidRDefault="00000000" w:rsidRPr="00000000" w14:paraId="0000022C">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Transect walk</w:t>
            </w:r>
          </w:p>
          <w:p w:rsidR="00000000" w:rsidDel="00000000" w:rsidP="00000000" w:rsidRDefault="00000000" w:rsidRPr="00000000" w14:paraId="0000022D">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Critical reviews of official records or other documents</w:t>
            </w:r>
          </w:p>
          <w:p w:rsidR="00000000" w:rsidDel="00000000" w:rsidP="00000000" w:rsidRDefault="00000000" w:rsidRPr="00000000" w14:paraId="0000022E">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Individual and key informant interviews</w:t>
            </w:r>
          </w:p>
          <w:p w:rsidR="00000000" w:rsidDel="00000000" w:rsidP="00000000" w:rsidRDefault="00000000" w:rsidRPr="00000000" w14:paraId="0000022F">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Official records/secondary data</w:t>
            </w:r>
          </w:p>
          <w:p w:rsidR="00000000" w:rsidDel="00000000" w:rsidP="00000000" w:rsidRDefault="00000000" w:rsidRPr="00000000" w14:paraId="00000230">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Census</w:t>
            </w:r>
          </w:p>
          <w:p w:rsidR="00000000" w:rsidDel="00000000" w:rsidP="00000000" w:rsidRDefault="00000000" w:rsidRPr="00000000" w14:paraId="00000231">
            <w:pPr>
              <w:numPr>
                <w:ilvl w:val="0"/>
                <w:numId w:val="54"/>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Scientific research</w:t>
            </w:r>
          </w:p>
          <w:p w:rsidR="00000000" w:rsidDel="00000000" w:rsidP="00000000" w:rsidRDefault="00000000" w:rsidRPr="00000000" w14:paraId="00000232">
            <w:pPr>
              <w:tabs>
                <w:tab w:val="left" w:leader="none" w:pos="1896"/>
              </w:tabs>
              <w:rPr>
                <w:rFonts w:ascii="Tahoma" w:cs="Tahoma" w:eastAsia="Tahoma" w:hAnsi="Tahoma"/>
                <w:sz w:val="10"/>
                <w:szCs w:val="10"/>
              </w:rPr>
            </w:pPr>
            <w:r w:rsidDel="00000000" w:rsidR="00000000" w:rsidRPr="00000000">
              <w:rPr>
                <w:rtl w:val="0"/>
              </w:rPr>
            </w:r>
          </w:p>
        </w:tc>
      </w:tr>
    </w:tbl>
    <w:p w:rsidR="00000000" w:rsidDel="00000000" w:rsidP="00000000" w:rsidRDefault="00000000" w:rsidRPr="00000000" w14:paraId="00000234">
      <w:pPr>
        <w:rPr>
          <w:rFonts w:ascii="Tahoma" w:cs="Tahoma" w:eastAsia="Tahoma" w:hAnsi="Tahoma"/>
        </w:rPr>
      </w:pPr>
      <w:r w:rsidDel="00000000" w:rsidR="00000000" w:rsidRPr="00000000">
        <w:rPr>
          <w:rtl w:val="0"/>
        </w:rPr>
      </w:r>
    </w:p>
    <w:tbl>
      <w:tblPr>
        <w:tblStyle w:val="Table15"/>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57" w:hRule="atLeast"/>
          <w:tblHeader w:val="0"/>
        </w:trPr>
        <w:tc>
          <w:tcPr>
            <w:shd w:fill="63763e" w:val="clear"/>
          </w:tcPr>
          <w:p w:rsidR="00000000" w:rsidDel="00000000" w:rsidP="00000000" w:rsidRDefault="00000000" w:rsidRPr="00000000" w14:paraId="00000235">
            <w:pPr>
              <w:pStyle w:val="Heading1"/>
              <w:rPr/>
            </w:pPr>
            <w:bookmarkStart w:colFirst="0" w:colLast="0" w:name="_heading=h.1y810tw" w:id="21"/>
            <w:bookmarkEnd w:id="21"/>
            <w:r w:rsidDel="00000000" w:rsidR="00000000" w:rsidRPr="00000000">
              <w:rPr>
                <w:rtl w:val="0"/>
              </w:rPr>
              <w:t xml:space="preserve">Session 16: Accountability - Data for Whom? Using GE Data to Strengthen Programming and Women’s/Girl’s Participation</w:t>
            </w:r>
          </w:p>
        </w:tc>
      </w:tr>
    </w:tbl>
    <w:p w:rsidR="00000000" w:rsidDel="00000000" w:rsidP="00000000" w:rsidRDefault="00000000" w:rsidRPr="00000000" w14:paraId="00000236">
      <w:pPr>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2" name=""/>
                <a:graphic>
                  <a:graphicData uri="http://schemas.microsoft.com/office/word/2010/wordprocessingShape">
                    <wps:wsp>
                      <wps:cNvSpPr/>
                      <wps:cNvPr id="6" name="Shape 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2"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37">
      <w:pPr>
        <w:spacing w:line="276" w:lineRule="auto"/>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ACCOUNTABILITY</w:t>
      </w:r>
      <w:r w:rsidDel="00000000" w:rsidR="00000000" w:rsidRPr="00000000">
        <w:rPr>
          <w:rFonts w:ascii="Tahoma" w:cs="Tahoma" w:eastAsia="Tahoma" w:hAnsi="Tahoma"/>
          <w:sz w:val="20"/>
          <w:szCs w:val="20"/>
          <w:rtl w:val="0"/>
        </w:rPr>
        <w:t xml:space="preserve"> 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Del="00000000" w:rsidR="00000000" w:rsidRPr="00000000">
        <w:rPr>
          <w:rFonts w:ascii="Tahoma" w:cs="Tahoma" w:eastAsia="Tahoma" w:hAnsi="Tahoma"/>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23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A">
      <w:pPr>
        <w:jc w:val="center"/>
        <w:rPr>
          <w:rFonts w:ascii="Tahoma" w:cs="Tahoma" w:eastAsia="Tahoma" w:hAnsi="Tahoma"/>
          <w:sz w:val="20"/>
          <w:szCs w:val="20"/>
        </w:rPr>
      </w:pPr>
      <w:bookmarkStart w:colFirst="0" w:colLast="0" w:name="_heading=h.4i7ojhp" w:id="22"/>
      <w:bookmarkEnd w:id="22"/>
      <w:r w:rsidDel="00000000" w:rsidR="00000000" w:rsidRPr="00000000">
        <w:rPr>
          <w:rFonts w:ascii="Tahoma" w:cs="Tahoma" w:eastAsia="Tahoma" w:hAnsi="Tahoma"/>
          <w:sz w:val="20"/>
          <w:szCs w:val="20"/>
        </w:rPr>
        <w:drawing>
          <wp:inline distB="0" distT="0" distL="0" distR="0">
            <wp:extent cx="4540922" cy="2806542"/>
            <wp:effectExtent b="0" l="0" r="0" t="0"/>
            <wp:docPr descr="Diagram&#10;&#10;Description automatically generated" id="240" name="image4.png"/>
            <a:graphic>
              <a:graphicData uri="http://schemas.openxmlformats.org/drawingml/2006/picture">
                <pic:pic>
                  <pic:nvPicPr>
                    <pic:cNvPr descr="Diagram&#10;&#10;Description automatically generated" id="0" name="image4.png"/>
                    <pic:cNvPicPr preferRelativeResize="0"/>
                  </pic:nvPicPr>
                  <pic:blipFill>
                    <a:blip r:embed="rId23"/>
                    <a:srcRect b="0" l="0" r="0" t="0"/>
                    <a:stretch>
                      <a:fillRect/>
                    </a:stretch>
                  </pic:blipFill>
                  <pic:spPr>
                    <a:xfrm>
                      <a:off x="0" y="0"/>
                      <a:ext cx="4540922" cy="2806542"/>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rFonts w:ascii="Tahoma" w:cs="Tahoma" w:eastAsia="Tahoma" w:hAnsi="Tahoma"/>
        </w:rPr>
      </w:pPr>
      <w:r w:rsidDel="00000000" w:rsidR="00000000" w:rsidRPr="00000000">
        <w:rPr>
          <w:rtl w:val="0"/>
        </w:rPr>
      </w:r>
    </w:p>
    <w:p w:rsidR="00000000" w:rsidDel="00000000" w:rsidP="00000000" w:rsidRDefault="00000000" w:rsidRPr="00000000" w14:paraId="0000023C">
      <w:pPr>
        <w:pStyle w:val="Heading2"/>
        <w:rPr/>
      </w:pPr>
      <w:bookmarkStart w:colFirst="0" w:colLast="0" w:name="_heading=h.3whwml4" w:id="23"/>
      <w:bookmarkEnd w:id="23"/>
      <w:r w:rsidDel="00000000" w:rsidR="00000000" w:rsidRPr="00000000">
        <w:rPr>
          <w:rtl w:val="0"/>
        </w:rPr>
        <w:t xml:space="preserve">Activity 16.1: Instructions - Downward Accountability Discussion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0" name=""/>
                <a:graphic>
                  <a:graphicData uri="http://schemas.microsoft.com/office/word/2010/wordprocessingShape">
                    <wps:wsp>
                      <wps:cNvSpPr/>
                      <wps:cNvPr id="4" name="Shape 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0"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3D">
      <w:pPr>
        <w:rPr>
          <w:rFonts w:ascii="Tahoma" w:cs="Tahoma" w:eastAsia="Tahoma" w:hAnsi="Tahoma"/>
        </w:rPr>
      </w:pP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Click on the following Mural link to see the plenary discussion captured: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[insert link]</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will be capturing the discussion on the Mural page, but feel free to join the page and input your own ideas.</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Discussion Questions:</w:t>
      </w:r>
    </w:p>
    <w:p w:rsidR="00000000" w:rsidDel="00000000" w:rsidP="00000000" w:rsidRDefault="00000000" w:rsidRPr="00000000" w14:paraId="00000243">
      <w:pPr>
        <w:rPr>
          <w:rFonts w:ascii="Tahoma" w:cs="Tahoma" w:eastAsia="Tahoma" w:hAnsi="Tahoma"/>
          <w:sz w:val="20"/>
          <w:szCs w:val="20"/>
        </w:rPr>
      </w:pPr>
      <w:r w:rsidDel="00000000" w:rsidR="00000000" w:rsidRPr="00000000">
        <w:rPr>
          <w:rtl w:val="0"/>
        </w:rPr>
      </w:r>
    </w:p>
    <w:tbl>
      <w:tblPr>
        <w:tblStyle w:val="Table16"/>
        <w:tblW w:w="8930.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0"/>
        <w:tblGridChange w:id="0">
          <w:tblGrid>
            <w:gridCol w:w="89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44">
            <w:pPr>
              <w:spacing w:line="276" w:lineRule="auto"/>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245">
            <w:pPr>
              <w:spacing w:line="276" w:lineRule="auto"/>
              <w:ind w:left="185" w:firstLine="0"/>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Downward Accountability</w:t>
            </w:r>
          </w:p>
          <w:p w:rsidR="00000000" w:rsidDel="00000000" w:rsidP="00000000" w:rsidRDefault="00000000" w:rsidRPr="00000000" w14:paraId="00000246">
            <w:pPr>
              <w:spacing w:line="276" w:lineRule="auto"/>
              <w:rPr>
                <w:rFonts w:ascii="Tahoma" w:cs="Tahoma" w:eastAsia="Tahoma" w:hAnsi="Tahoma"/>
                <w:b w:val="1"/>
                <w:color w:val="3a4888"/>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kind of activities does this include?</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4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Why is downward accountability important?  Why specifically for gender transformative programming?</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4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are the benefits? For whom?</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4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 we do it enough?  Why not?</w:t>
            </w:r>
          </w:p>
        </w:tc>
      </w:tr>
    </w:tbl>
    <w:p w:rsidR="00000000" w:rsidDel="00000000" w:rsidP="00000000" w:rsidRDefault="00000000" w:rsidRPr="00000000" w14:paraId="0000024C">
      <w:pPr>
        <w:rPr>
          <w:rFonts w:ascii="Tahoma" w:cs="Tahoma" w:eastAsia="Tahoma" w:hAnsi="Tahoma"/>
        </w:rPr>
      </w:pPr>
      <w:bookmarkStart w:colFirst="0" w:colLast="0" w:name="_heading=h.2bn6wsx" w:id="24"/>
      <w:bookmarkEnd w:id="24"/>
      <w:r w:rsidDel="00000000" w:rsidR="00000000" w:rsidRPr="00000000">
        <w:rPr>
          <w:rtl w:val="0"/>
        </w:rPr>
      </w:r>
    </w:p>
    <w:p w:rsidR="00000000" w:rsidDel="00000000" w:rsidP="00000000" w:rsidRDefault="00000000" w:rsidRPr="00000000" w14:paraId="0000024D">
      <w:pPr>
        <w:rPr>
          <w:rFonts w:ascii="Tahoma" w:cs="Tahoma" w:eastAsia="Tahoma" w:hAnsi="Tahoma"/>
        </w:rPr>
      </w:pPr>
      <w:r w:rsidDel="00000000" w:rsidR="00000000" w:rsidRPr="00000000">
        <w:rPr>
          <w:rtl w:val="0"/>
        </w:rPr>
      </w:r>
    </w:p>
    <w:p w:rsidR="00000000" w:rsidDel="00000000" w:rsidP="00000000" w:rsidRDefault="00000000" w:rsidRPr="00000000" w14:paraId="0000024E">
      <w:pPr>
        <w:rPr>
          <w:rFonts w:ascii="Tahoma" w:cs="Tahoma" w:eastAsia="Tahoma" w:hAnsi="Tahoma"/>
        </w:rPr>
      </w:pPr>
      <w:r w:rsidDel="00000000" w:rsidR="00000000" w:rsidRPr="00000000">
        <w:rPr>
          <w:rtl w:val="0"/>
        </w:rPr>
      </w:r>
    </w:p>
    <w:p w:rsidR="00000000" w:rsidDel="00000000" w:rsidP="00000000" w:rsidRDefault="00000000" w:rsidRPr="00000000" w14:paraId="0000024F">
      <w:pPr>
        <w:rPr>
          <w:rFonts w:ascii="Tahoma" w:cs="Tahoma" w:eastAsia="Tahoma" w:hAnsi="Tahoma"/>
        </w:rPr>
      </w:pPr>
      <w:r w:rsidDel="00000000" w:rsidR="00000000" w:rsidRPr="00000000">
        <w:rPr>
          <w:rtl w:val="0"/>
        </w:rPr>
      </w:r>
    </w:p>
    <w:p w:rsidR="00000000" w:rsidDel="00000000" w:rsidP="00000000" w:rsidRDefault="00000000" w:rsidRPr="00000000" w14:paraId="00000250">
      <w:pPr>
        <w:rPr>
          <w:rFonts w:ascii="Tahoma" w:cs="Tahoma" w:eastAsia="Tahoma" w:hAnsi="Tahoma"/>
        </w:rPr>
      </w:pPr>
      <w:r w:rsidDel="00000000" w:rsidR="00000000" w:rsidRPr="00000000">
        <w:rPr>
          <w:rtl w:val="0"/>
        </w:rPr>
      </w:r>
    </w:p>
    <w:p w:rsidR="00000000" w:rsidDel="00000000" w:rsidP="00000000" w:rsidRDefault="00000000" w:rsidRPr="00000000" w14:paraId="00000251">
      <w:pPr>
        <w:pStyle w:val="Heading2"/>
        <w:rPr/>
      </w:pPr>
      <w:bookmarkStart w:colFirst="0" w:colLast="0" w:name="_heading=h.tbs5lyjr1214" w:id="25"/>
      <w:bookmarkEnd w:id="25"/>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2" name=""/>
                <a:graphic>
                  <a:graphicData uri="http://schemas.microsoft.com/office/word/2010/wordprocessingShape">
                    <wps:wsp>
                      <wps:cNvSpPr/>
                      <wps:cNvPr id="16" name="Shape 1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2"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pStyle w:val="Heading2"/>
        <w:rPr>
          <w:rFonts w:ascii="Tahoma" w:cs="Tahoma" w:eastAsia="Tahoma" w:hAnsi="Tahoma"/>
          <w:color w:val="3a4888"/>
          <w:sz w:val="20"/>
          <w:szCs w:val="20"/>
        </w:rPr>
      </w:pPr>
      <w:bookmarkStart w:colFirst="0" w:colLast="0" w:name="_heading=h.2xcytpi" w:id="26"/>
      <w:bookmarkEnd w:id="26"/>
      <w:r w:rsidDel="00000000" w:rsidR="00000000" w:rsidRPr="00000000">
        <w:rPr>
          <w:rtl w:val="0"/>
        </w:rPr>
        <w:t xml:space="preserve">Annex 16a Accountability Discussion Support</w:t>
      </w:r>
      <w:r w:rsidDel="00000000" w:rsidR="00000000" w:rsidRPr="00000000">
        <w:rPr>
          <w:rtl w:val="0"/>
        </w:rPr>
      </w:r>
    </w:p>
    <w:p w:rsidR="00000000" w:rsidDel="00000000" w:rsidP="00000000" w:rsidRDefault="00000000" w:rsidRPr="00000000" w14:paraId="00000256">
      <w:pPr>
        <w:pStyle w:val="Heading3"/>
        <w:rPr>
          <w:color w:val="491a36"/>
          <w:sz w:val="24"/>
          <w:szCs w:val="24"/>
        </w:rPr>
      </w:pPr>
      <w:bookmarkStart w:colFirst="0" w:colLast="0" w:name="_heading=h.1ci93xb" w:id="27"/>
      <w:bookmarkEnd w:id="27"/>
      <w:r w:rsidDel="00000000" w:rsidR="00000000" w:rsidRPr="00000000">
        <w:rPr>
          <w:color w:val="491a36"/>
          <w:sz w:val="24"/>
          <w:szCs w:val="24"/>
          <w:rtl w:val="0"/>
        </w:rPr>
        <w:t xml:space="preserve">Discussion questions:</w:t>
      </w:r>
    </w:p>
    <w:p w:rsidR="00000000" w:rsidDel="00000000" w:rsidP="00000000" w:rsidRDefault="00000000" w:rsidRPr="00000000" w14:paraId="00000257">
      <w:pPr>
        <w:rPr>
          <w:rFonts w:ascii="Tahoma" w:cs="Tahoma" w:eastAsia="Tahoma" w:hAnsi="Tahoma"/>
          <w:b w:val="1"/>
          <w:color w:val="3a4888"/>
          <w:sz w:val="11"/>
          <w:szCs w:val="11"/>
        </w:rPr>
      </w:pPr>
      <w:r w:rsidDel="00000000" w:rsidR="00000000" w:rsidRPr="00000000">
        <w:rPr>
          <w:rtl w:val="0"/>
        </w:rPr>
      </w:r>
    </w:p>
    <w:tbl>
      <w:tblPr>
        <w:tblStyle w:val="Table1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58">
            <w:pPr>
              <w:spacing w:line="276" w:lineRule="auto"/>
              <w:rPr>
                <w:rFonts w:ascii="Tahoma" w:cs="Tahoma" w:eastAsia="Tahoma" w:hAnsi="Tahoma"/>
                <w:b w:val="1"/>
                <w:color w:val="ffffff"/>
                <w:sz w:val="13"/>
                <w:szCs w:val="13"/>
              </w:rPr>
            </w:pPr>
            <w:r w:rsidDel="00000000" w:rsidR="00000000" w:rsidRPr="00000000">
              <w:rPr>
                <w:rtl w:val="0"/>
              </w:rPr>
            </w:r>
          </w:p>
          <w:p w:rsidR="00000000" w:rsidDel="00000000" w:rsidP="00000000" w:rsidRDefault="00000000" w:rsidRPr="00000000" w14:paraId="00000259">
            <w:pPr>
              <w:spacing w:line="276" w:lineRule="auto"/>
              <w:ind w:left="314" w:firstLine="0"/>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Upward Accountability</w:t>
            </w:r>
          </w:p>
          <w:p w:rsidR="00000000" w:rsidDel="00000000" w:rsidP="00000000" w:rsidRDefault="00000000" w:rsidRPr="00000000" w14:paraId="0000025A">
            <w:pPr>
              <w:spacing w:line="276" w:lineRule="auto"/>
              <w:rPr>
                <w:rFonts w:ascii="Tahoma" w:cs="Tahoma" w:eastAsia="Tahoma" w:hAnsi="Tahoma"/>
                <w:b w:val="1"/>
                <w:color w:val="3a4888"/>
                <w:sz w:val="13"/>
                <w:szCs w:val="13"/>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B">
            <w:pPr>
              <w:spacing w:line="276" w:lineRule="auto"/>
              <w:ind w:left="1134"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C">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What kind of activities does this include?</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D">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Why is this level of accountability important in gender transformative programming?</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E">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can we use our donor reports to advocate for women’s empowerment and rights-based approaches?</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F">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What is it that we report on?  What do we highlight? How do we present our data?</w:t>
            </w:r>
          </w:p>
        </w:tc>
      </w:tr>
    </w:tbl>
    <w:p w:rsidR="00000000" w:rsidDel="00000000" w:rsidP="00000000" w:rsidRDefault="00000000" w:rsidRPr="00000000" w14:paraId="00000260">
      <w:pPr>
        <w:spacing w:line="276" w:lineRule="auto"/>
        <w:rPr>
          <w:rFonts w:ascii="Tahoma" w:cs="Tahoma" w:eastAsia="Tahoma" w:hAnsi="Tahoma"/>
          <w:b w:val="1"/>
          <w:color w:val="3a4888"/>
          <w:sz w:val="10"/>
          <w:szCs w:val="10"/>
        </w:rPr>
      </w:pPr>
      <w:r w:rsidDel="00000000" w:rsidR="00000000" w:rsidRPr="00000000">
        <w:rPr>
          <w:rtl w:val="0"/>
        </w:rPr>
      </w:r>
    </w:p>
    <w:tbl>
      <w:tblPr>
        <w:tblStyle w:val="Table1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61">
            <w:pPr>
              <w:spacing w:line="276" w:lineRule="auto"/>
              <w:rPr>
                <w:rFonts w:ascii="Tahoma" w:cs="Tahoma" w:eastAsia="Tahoma" w:hAnsi="Tahoma"/>
                <w:b w:val="1"/>
                <w:color w:val="ffffff"/>
                <w:sz w:val="13"/>
                <w:szCs w:val="13"/>
              </w:rPr>
            </w:pPr>
            <w:r w:rsidDel="00000000" w:rsidR="00000000" w:rsidRPr="00000000">
              <w:rPr>
                <w:rtl w:val="0"/>
              </w:rPr>
            </w:r>
          </w:p>
          <w:p w:rsidR="00000000" w:rsidDel="00000000" w:rsidP="00000000" w:rsidRDefault="00000000" w:rsidRPr="00000000" w14:paraId="00000262">
            <w:pPr>
              <w:spacing w:line="276" w:lineRule="auto"/>
              <w:ind w:left="314" w:firstLine="0"/>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Horizontal Accountability</w:t>
            </w:r>
          </w:p>
          <w:p w:rsidR="00000000" w:rsidDel="00000000" w:rsidP="00000000" w:rsidRDefault="00000000" w:rsidRPr="00000000" w14:paraId="00000263">
            <w:pPr>
              <w:spacing w:line="276" w:lineRule="auto"/>
              <w:rPr>
                <w:rFonts w:ascii="Tahoma" w:cs="Tahoma" w:eastAsia="Tahoma" w:hAnsi="Tahoma"/>
                <w:b w:val="1"/>
                <w:color w:val="3a4888"/>
                <w:sz w:val="13"/>
                <w:szCs w:val="13"/>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4">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What kind of activities does this include?</w:t>
            </w:r>
          </w:p>
          <w:p w:rsidR="00000000" w:rsidDel="00000000" w:rsidP="00000000" w:rsidRDefault="00000000" w:rsidRPr="00000000" w14:paraId="00000265">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Why is this level of accountability important in gender transformative programming?</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6">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can horizontal accountability reflect and promote feminist principles?</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7">
            <w:pPr>
              <w:numPr>
                <w:ilvl w:val="0"/>
                <w:numId w:val="6"/>
              </w:numPr>
              <w:spacing w:after="160" w:line="276" w:lineRule="auto"/>
              <w:ind w:left="1134"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can horizontal accountability improve gender transformative programming?</w:t>
            </w:r>
          </w:p>
        </w:tc>
      </w:tr>
    </w:tbl>
    <w:p w:rsidR="00000000" w:rsidDel="00000000" w:rsidP="00000000" w:rsidRDefault="00000000" w:rsidRPr="00000000" w14:paraId="00000268">
      <w:pPr>
        <w:spacing w:line="276" w:lineRule="auto"/>
        <w:rPr>
          <w:rFonts w:ascii="Tahoma" w:cs="Tahoma" w:eastAsia="Tahoma" w:hAnsi="Tahoma"/>
          <w:b w:val="1"/>
          <w:color w:val="3a4888"/>
          <w:sz w:val="10"/>
          <w:szCs w:val="10"/>
        </w:rPr>
      </w:pPr>
      <w:r w:rsidDel="00000000" w:rsidR="00000000" w:rsidRPr="00000000">
        <w:rPr>
          <w:rtl w:val="0"/>
        </w:rPr>
      </w:r>
    </w:p>
    <w:tbl>
      <w:tblPr>
        <w:tblStyle w:val="Table1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69">
            <w:pPr>
              <w:spacing w:line="276" w:lineRule="auto"/>
              <w:rPr>
                <w:rFonts w:ascii="Tahoma" w:cs="Tahoma" w:eastAsia="Tahoma" w:hAnsi="Tahoma"/>
                <w:b w:val="1"/>
                <w:color w:val="3a4888"/>
                <w:sz w:val="13"/>
                <w:szCs w:val="13"/>
              </w:rPr>
            </w:pPr>
            <w:r w:rsidDel="00000000" w:rsidR="00000000" w:rsidRPr="00000000">
              <w:rPr>
                <w:rtl w:val="0"/>
              </w:rPr>
            </w:r>
          </w:p>
          <w:p w:rsidR="00000000" w:rsidDel="00000000" w:rsidP="00000000" w:rsidRDefault="00000000" w:rsidRPr="00000000" w14:paraId="0000026A">
            <w:pPr>
              <w:spacing w:line="276" w:lineRule="auto"/>
              <w:ind w:left="314" w:firstLine="0"/>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Downward Accountability</w:t>
            </w:r>
          </w:p>
          <w:p w:rsidR="00000000" w:rsidDel="00000000" w:rsidP="00000000" w:rsidRDefault="00000000" w:rsidRPr="00000000" w14:paraId="0000026B">
            <w:pPr>
              <w:spacing w:line="276" w:lineRule="auto"/>
              <w:rPr>
                <w:rFonts w:ascii="Tahoma" w:cs="Tahoma" w:eastAsia="Tahoma" w:hAnsi="Tahoma"/>
                <w:b w:val="1"/>
                <w:color w:val="3a4888"/>
                <w:sz w:val="13"/>
                <w:szCs w:val="13"/>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C">
            <w:pPr>
              <w:spacing w:line="276" w:lineRule="auto"/>
              <w:ind w:left="1080"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D">
            <w:pPr>
              <w:numPr>
                <w:ilvl w:val="1"/>
                <w:numId w:val="72"/>
              </w:numPr>
              <w:spacing w:after="160" w:line="276" w:lineRule="auto"/>
              <w:ind w:left="108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What kind of activities does this include?</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E">
            <w:pPr>
              <w:numPr>
                <w:ilvl w:val="1"/>
                <w:numId w:val="72"/>
              </w:numPr>
              <w:spacing w:after="160" w:line="276" w:lineRule="auto"/>
              <w:ind w:left="108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Why is downward accountability important?  Why specifically for gender transformative programming?</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F">
            <w:pPr>
              <w:numPr>
                <w:ilvl w:val="1"/>
                <w:numId w:val="72"/>
              </w:numPr>
              <w:spacing w:after="160" w:line="276" w:lineRule="auto"/>
              <w:ind w:left="108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What are the benefits? For whom?</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0">
            <w:pPr>
              <w:numPr>
                <w:ilvl w:val="1"/>
                <w:numId w:val="72"/>
              </w:numPr>
              <w:spacing w:after="160" w:line="276" w:lineRule="auto"/>
              <w:ind w:left="108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Do we do it enough?  Why not?</w:t>
            </w:r>
          </w:p>
        </w:tc>
      </w:tr>
    </w:tbl>
    <w:p w:rsidR="00000000" w:rsidDel="00000000" w:rsidP="00000000" w:rsidRDefault="00000000" w:rsidRPr="00000000" w14:paraId="0000027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2">
      <w:pPr>
        <w:spacing w:line="360" w:lineRule="auto"/>
        <w:rPr>
          <w:rFonts w:ascii="Tahoma" w:cs="Tahoma" w:eastAsia="Tahoma" w:hAnsi="Tahoma"/>
          <w:sz w:val="20"/>
          <w:szCs w:val="20"/>
        </w:rPr>
      </w:pPr>
      <w:r w:rsidDel="00000000" w:rsidR="00000000" w:rsidRPr="00000000">
        <w:rPr>
          <w:rtl w:val="0"/>
        </w:rPr>
      </w:r>
    </w:p>
    <w:tbl>
      <w:tblPr>
        <w:tblStyle w:val="Table20"/>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15" w:hRule="atLeast"/>
          <w:tblHeader w:val="0"/>
        </w:trPr>
        <w:tc>
          <w:tcPr>
            <w:shd w:fill="63763e" w:val="clear"/>
          </w:tcPr>
          <w:p w:rsidR="00000000" w:rsidDel="00000000" w:rsidP="00000000" w:rsidRDefault="00000000" w:rsidRPr="00000000" w14:paraId="00000273">
            <w:pPr>
              <w:pStyle w:val="Heading1"/>
              <w:rPr/>
            </w:pPr>
            <w:bookmarkStart w:colFirst="0" w:colLast="0" w:name="_heading=h.a6yk4blucv7n" w:id="28"/>
            <w:bookmarkEnd w:id="28"/>
            <w:r w:rsidDel="00000000" w:rsidR="00000000" w:rsidRPr="00000000">
              <w:rPr>
                <w:rtl w:val="0"/>
              </w:rPr>
              <w:t xml:space="preserve">Additional Session: Gender Based Analysis</w:t>
            </w:r>
          </w:p>
        </w:tc>
      </w:tr>
    </w:tbl>
    <w:p w:rsidR="00000000" w:rsidDel="00000000" w:rsidP="00000000" w:rsidRDefault="00000000" w:rsidRPr="00000000" w14:paraId="00000274">
      <w:pPr>
        <w:rPr>
          <w:rFonts w:ascii="Tahoma" w:cs="Tahoma" w:eastAsia="Tahoma" w:hAnsi="Tahoma"/>
        </w:rPr>
      </w:pPr>
      <w:r w:rsidDel="00000000" w:rsidR="00000000" w:rsidRPr="00000000">
        <w:rPr>
          <w:rtl w:val="0"/>
        </w:rPr>
      </w:r>
    </w:p>
    <w:p w:rsidR="00000000" w:rsidDel="00000000" w:rsidP="00000000" w:rsidRDefault="00000000" w:rsidRPr="00000000" w14:paraId="00000275">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All </w:t>
      </w:r>
      <w:r w:rsidDel="00000000" w:rsidR="00000000" w:rsidRPr="00000000">
        <w:rPr>
          <w:rFonts w:ascii="Tahoma" w:cs="Tahoma" w:eastAsia="Tahoma" w:hAnsi="Tahoma"/>
          <w:b w:val="1"/>
          <w:color w:val="3a4888"/>
          <w:sz w:val="20"/>
          <w:szCs w:val="20"/>
          <w:rtl w:val="0"/>
        </w:rPr>
        <w:t xml:space="preserve">gender analysis frameworks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have different domains of inquiry, but ultimately, the goal is to understand the reality and gender dynamics of the target group – it is a </w:t>
      </w:r>
      <w:r w:rsidDel="00000000" w:rsidR="00000000" w:rsidRPr="00000000">
        <w:rPr>
          <w:rFonts w:ascii="Tahoma" w:cs="Tahoma" w:eastAsia="Tahoma" w:hAnsi="Tahoma"/>
          <w:i w:val="1"/>
          <w:sz w:val="20"/>
          <w:szCs w:val="20"/>
          <w:rtl w:val="0"/>
        </w:rPr>
        <w:t xml:space="preserve">situation analysis</w:t>
      </w:r>
      <w:r w:rsidDel="00000000" w:rsidR="00000000" w:rsidRPr="00000000">
        <w:rPr>
          <w:rFonts w:ascii="Tahoma" w:cs="Tahoma" w:eastAsia="Tahoma" w:hAnsi="Tahoma"/>
          <w:sz w:val="20"/>
          <w:szCs w:val="20"/>
          <w:rtl w:val="0"/>
        </w:rPr>
        <w:t xml:space="preserve"> that is focused on the examination of the role of gender in particular.</w:t>
      </w:r>
      <w:r w:rsidDel="00000000" w:rsidR="00000000" w:rsidRPr="00000000">
        <w:rPr>
          <w:rtl w:val="0"/>
        </w:rPr>
      </w:r>
    </w:p>
    <w:p w:rsidR="00000000" w:rsidDel="00000000" w:rsidP="00000000" w:rsidRDefault="00000000" w:rsidRPr="00000000" w14:paraId="00000276">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77">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Gender Analysis Frameworks provide step-by-step methodologies for conducting gender analysis. A thorough gender analysis should reflect the ways in which all other cross-cutting issues (age, environment, ethnicity, rights) also impact on women, men and gender diverse people.   </w:t>
      </w:r>
      <w:r w:rsidDel="00000000" w:rsidR="00000000" w:rsidRPr="00000000">
        <w:rPr>
          <w:rtl w:val="0"/>
        </w:rPr>
      </w:r>
    </w:p>
    <w:p w:rsidR="00000000" w:rsidDel="00000000" w:rsidP="00000000" w:rsidRDefault="00000000" w:rsidRPr="00000000" w14:paraId="00000278">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(reference to annex and associated links) </w:t>
      </w:r>
      <w:r w:rsidDel="00000000" w:rsidR="00000000" w:rsidRPr="00000000">
        <w:rPr>
          <w:rtl w:val="0"/>
        </w:rPr>
      </w:r>
    </w:p>
    <w:p w:rsidR="00000000" w:rsidDel="00000000" w:rsidP="00000000" w:rsidRDefault="00000000" w:rsidRPr="00000000" w14:paraId="0000027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7A">
      <w:pPr>
        <w:spacing w:line="276" w:lineRule="auto"/>
        <w:rPr>
          <w:rFonts w:ascii="Tahoma" w:cs="Tahoma" w:eastAsia="Tahoma" w:hAnsi="Tahoma"/>
        </w:rPr>
      </w:pPr>
      <w:r w:rsidDel="00000000" w:rsidR="00000000" w:rsidRPr="00000000">
        <w:rPr>
          <w:rFonts w:ascii="Tahoma" w:cs="Tahoma" w:eastAsia="Tahoma" w:hAnsi="Tahoma"/>
          <w:sz w:val="20"/>
          <w:szCs w:val="20"/>
          <w:rtl w:val="0"/>
        </w:rPr>
        <w:t xml:space="preserve">There are a number of key historical gender-analysis frameworks. Historically these have been evolving. We have created </w:t>
      </w:r>
      <w:r w:rsidDel="00000000" w:rsidR="00000000" w:rsidRPr="00000000">
        <w:rPr>
          <w:rFonts w:ascii="Tahoma" w:cs="Tahoma" w:eastAsia="Tahoma" w:hAnsi="Tahoma"/>
          <w:b w:val="1"/>
          <w:color w:val="63763e"/>
          <w:sz w:val="20"/>
          <w:szCs w:val="20"/>
          <w:rtl w:val="0"/>
        </w:rPr>
        <w:t xml:space="preserve">Annex 12a </w:t>
      </w:r>
      <w:r w:rsidDel="00000000" w:rsidR="00000000" w:rsidRPr="00000000">
        <w:rPr>
          <w:rFonts w:ascii="Tahoma" w:cs="Tahoma" w:eastAsia="Tahoma" w:hAnsi="Tahoma"/>
          <w:sz w:val="20"/>
          <w:szCs w:val="20"/>
          <w:rtl w:val="0"/>
        </w:rPr>
        <w:t xml:space="preserve">with key frameworks you can reference.</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7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7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Common domains you will often see used by various organizations and institutions pull from all of these frameworks, and might include:  </w:t>
      </w:r>
    </w:p>
    <w:p w:rsidR="00000000" w:rsidDel="00000000" w:rsidP="00000000" w:rsidRDefault="00000000" w:rsidRPr="00000000" w14:paraId="0000027D">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7E">
      <w:pPr>
        <w:numPr>
          <w:ilvl w:val="0"/>
          <w:numId w:val="40"/>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Roles &amp; responsibilities </w:t>
      </w:r>
    </w:p>
    <w:p w:rsidR="00000000" w:rsidDel="00000000" w:rsidP="00000000" w:rsidRDefault="00000000" w:rsidRPr="00000000" w14:paraId="0000027F">
      <w:pPr>
        <w:numPr>
          <w:ilvl w:val="0"/>
          <w:numId w:val="63"/>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Social norms/gender norms </w:t>
      </w:r>
    </w:p>
    <w:p w:rsidR="00000000" w:rsidDel="00000000" w:rsidP="00000000" w:rsidRDefault="00000000" w:rsidRPr="00000000" w14:paraId="00000280">
      <w:pPr>
        <w:numPr>
          <w:ilvl w:val="0"/>
          <w:numId w:val="50"/>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Participation and decision making </w:t>
      </w:r>
    </w:p>
    <w:p w:rsidR="00000000" w:rsidDel="00000000" w:rsidP="00000000" w:rsidRDefault="00000000" w:rsidRPr="00000000" w14:paraId="00000281">
      <w:pPr>
        <w:numPr>
          <w:ilvl w:val="0"/>
          <w:numId w:val="17"/>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to/control over resources </w:t>
      </w:r>
    </w:p>
    <w:p w:rsidR="00000000" w:rsidDel="00000000" w:rsidP="00000000" w:rsidRDefault="00000000" w:rsidRPr="00000000" w14:paraId="00000282">
      <w:pPr>
        <w:numPr>
          <w:ilvl w:val="0"/>
          <w:numId w:val="31"/>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Systemic/institutional norms </w:t>
      </w:r>
    </w:p>
    <w:p w:rsidR="00000000" w:rsidDel="00000000" w:rsidP="00000000" w:rsidRDefault="00000000" w:rsidRPr="00000000" w14:paraId="00000283">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84">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Historically, a lot of these frameworks didn’t look at intersectionality effectively. Which is where Global Affairs Canada’s Gender-Based Analysis Plus (GBA+) comes in. Global Affairs Canada defines Gender-based analysis (GBA+) as an analytical process used to assess how diverse groups of women, men and non-binary people may experience policies, programs and initiatives.</w:t>
      </w:r>
      <w:r w:rsidDel="00000000" w:rsidR="00000000" w:rsidRPr="00000000">
        <w:rPr>
          <w:rFonts w:ascii="Tahoma" w:cs="Tahoma" w:eastAsia="Tahoma" w:hAnsi="Tahoma"/>
          <w:sz w:val="16"/>
          <w:szCs w:val="16"/>
          <w:vertAlign w:val="superscript"/>
          <w:rtl w:val="0"/>
        </w:rPr>
        <w:t xml:space="preserve">6</w:t>
      </w:r>
      <w:r w:rsidDel="00000000" w:rsidR="00000000" w:rsidRPr="00000000">
        <w:rPr>
          <w:rFonts w:ascii="Tahoma" w:cs="Tahoma" w:eastAsia="Tahoma" w:hAnsi="Tahoma"/>
          <w:sz w:val="20"/>
          <w:szCs w:val="20"/>
          <w:rtl w:val="0"/>
        </w:rPr>
        <w:t xml:space="preserve"> The “plus” in GBA+ acknowledges that GBA+ goes beyond biological (sex) and socio-cultural (gender) differences. GBA+ considers many identity factors, such as race, ethnicity, religion, age, and mental or physical disability.</w:t>
      </w:r>
      <w:r w:rsidDel="00000000" w:rsidR="00000000" w:rsidRPr="00000000">
        <w:rPr>
          <w:rFonts w:ascii="Tahoma" w:cs="Tahoma" w:eastAsia="Tahoma" w:hAnsi="Tahoma"/>
          <w:sz w:val="16"/>
          <w:szCs w:val="16"/>
          <w:vertAlign w:val="superscript"/>
          <w:rtl w:val="0"/>
        </w:rPr>
        <w:t xml:space="preserve">7</w:t>
      </w:r>
      <w:r w:rsidDel="00000000" w:rsidR="00000000" w:rsidRPr="00000000">
        <w:rPr>
          <w:rFonts w:ascii="Tahoma" w:cs="Tahoma" w:eastAsia="Tahoma" w:hAnsi="Tahoma"/>
          <w:sz w:val="20"/>
          <w:szCs w:val="20"/>
          <w:rtl w:val="0"/>
        </w:rPr>
        <w:t xml:space="preserve"> Recall our discussion in Session 4 on intersectionality. </w:t>
      </w:r>
      <w:r w:rsidDel="00000000" w:rsidR="00000000" w:rsidRPr="00000000">
        <w:rPr>
          <w:rtl w:val="0"/>
        </w:rPr>
      </w:r>
    </w:p>
    <w:p w:rsidR="00000000" w:rsidDel="00000000" w:rsidP="00000000" w:rsidRDefault="00000000" w:rsidRPr="00000000" w14:paraId="00000285">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8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more information on GBA+, including videos and examples, visit: </w:t>
      </w:r>
      <w:hyperlink r:id="rId26">
        <w:r w:rsidDel="00000000" w:rsidR="00000000" w:rsidRPr="00000000">
          <w:rPr>
            <w:rFonts w:ascii="Tahoma" w:cs="Tahoma" w:eastAsia="Tahoma" w:hAnsi="Tahoma"/>
            <w:color w:val="0563c1"/>
            <w:sz w:val="20"/>
            <w:szCs w:val="20"/>
            <w:u w:val="single"/>
            <w:rtl w:val="0"/>
          </w:rPr>
          <w:t xml:space="preserve">https://cfc-swc.gc.ca/gba-acs/index-en.html</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8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9">
      <w:pPr>
        <w:pStyle w:val="Heading2"/>
        <w:rPr/>
      </w:pPr>
      <w:bookmarkStart w:colFirst="0" w:colLast="0" w:name="_heading=h.23ckvvd" w:id="29"/>
      <w:bookmarkEnd w:id="29"/>
      <w:r w:rsidDel="00000000" w:rsidR="00000000" w:rsidRPr="00000000">
        <w:rPr>
          <w:rtl w:val="0"/>
        </w:rPr>
        <w:t xml:space="preserve">Activity 12.1 Instructions: Gender Based Analysis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6" name=""/>
                <a:graphic>
                  <a:graphicData uri="http://schemas.microsoft.com/office/word/2010/wordprocessingShape">
                    <wps:wsp>
                      <wps:cNvSpPr/>
                      <wps:cNvPr id="10" name="Shape 1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6"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B">
      <w:pPr>
        <w:numPr>
          <w:ilvl w:val="0"/>
          <w:numId w:val="43"/>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are to go back to their problem analysis and discuss:</w:t>
      </w:r>
    </w:p>
    <w:p w:rsidR="00000000" w:rsidDel="00000000" w:rsidP="00000000" w:rsidRDefault="00000000" w:rsidRPr="00000000" w14:paraId="0000028C">
      <w:pPr>
        <w:numPr>
          <w:ilvl w:val="1"/>
          <w:numId w:val="43"/>
        </w:numPr>
        <w:spacing w:line="36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Do the problems identified in their problem analysis fit into these domains?</w:t>
      </w:r>
    </w:p>
    <w:p w:rsidR="00000000" w:rsidDel="00000000" w:rsidP="00000000" w:rsidRDefault="00000000" w:rsidRPr="00000000" w14:paraId="0000028D">
      <w:pPr>
        <w:numPr>
          <w:ilvl w:val="1"/>
          <w:numId w:val="43"/>
        </w:numPr>
        <w:spacing w:line="36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Can they see how this framework analysis would help identify different areas of inequality?</w:t>
      </w:r>
    </w:p>
    <w:p w:rsidR="00000000" w:rsidDel="00000000" w:rsidP="00000000" w:rsidRDefault="00000000" w:rsidRPr="00000000" w14:paraId="0000028E">
      <w:pPr>
        <w:numPr>
          <w:ilvl w:val="1"/>
          <w:numId w:val="43"/>
        </w:numPr>
        <w:spacing w:line="36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And how can it help in turn, to inform programmatic responses?</w:t>
      </w:r>
    </w:p>
    <w:p w:rsidR="00000000" w:rsidDel="00000000" w:rsidP="00000000" w:rsidRDefault="00000000" w:rsidRPr="00000000" w14:paraId="0000028F">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0">
      <w:pPr>
        <w:numPr>
          <w:ilvl w:val="0"/>
          <w:numId w:val="43"/>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w:t>
      </w:r>
      <w:r w:rsidDel="00000000" w:rsidR="00000000" w:rsidRPr="00000000">
        <w:rPr>
          <w:rFonts w:ascii="Tahoma" w:cs="Tahoma" w:eastAsia="Tahoma" w:hAnsi="Tahoma"/>
          <w:b w:val="1"/>
          <w:color w:val="491a36"/>
          <w:sz w:val="20"/>
          <w:szCs w:val="20"/>
          <w:rtl w:val="0"/>
        </w:rPr>
        <w:t xml:space="preserve">20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connect with your groups via Zoom break-out rooms and discuss the above questions. See the table below for a reminder of your group assignments and the Mural link to your problem tree. </w:t>
      </w:r>
    </w:p>
    <w:p w:rsidR="00000000" w:rsidDel="00000000" w:rsidP="00000000" w:rsidRDefault="00000000" w:rsidRPr="00000000" w14:paraId="00000291">
      <w:pPr>
        <w:spacing w:line="276" w:lineRule="auto"/>
        <w:rPr>
          <w:rFonts w:ascii="Tahoma" w:cs="Tahoma" w:eastAsia="Tahoma" w:hAnsi="Tahoma"/>
          <w:color w:val="491a36"/>
          <w:sz w:val="20"/>
          <w:szCs w:val="20"/>
        </w:rPr>
      </w:pPr>
      <w:r w:rsidDel="00000000" w:rsidR="00000000" w:rsidRPr="00000000">
        <w:rPr>
          <w:rtl w:val="0"/>
        </w:rPr>
      </w:r>
    </w:p>
    <w:p w:rsidR="00000000" w:rsidDel="00000000" w:rsidP="00000000" w:rsidRDefault="00000000" w:rsidRPr="00000000" w14:paraId="00000292">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Group assignments:</w:t>
      </w:r>
    </w:p>
    <w:p w:rsidR="00000000" w:rsidDel="00000000" w:rsidP="00000000" w:rsidRDefault="00000000" w:rsidRPr="00000000" w14:paraId="00000293">
      <w:pPr>
        <w:spacing w:line="276" w:lineRule="auto"/>
        <w:rPr>
          <w:rFonts w:ascii="Tahoma" w:cs="Tahoma" w:eastAsia="Tahoma" w:hAnsi="Tahoma"/>
          <w:b w:val="1"/>
          <w:color w:val="491a36"/>
          <w:sz w:val="10"/>
          <w:szCs w:val="10"/>
        </w:rPr>
      </w:pPr>
      <w:r w:rsidDel="00000000" w:rsidR="00000000" w:rsidRPr="00000000">
        <w:rPr>
          <w:rtl w:val="0"/>
        </w:rPr>
      </w:r>
    </w:p>
    <w:tbl>
      <w:tblPr>
        <w:tblStyle w:val="Table21"/>
        <w:tblW w:w="12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4111"/>
        <w:gridCol w:w="4536"/>
        <w:tblGridChange w:id="0">
          <w:tblGrid>
            <w:gridCol w:w="4253"/>
            <w:gridCol w:w="4111"/>
            <w:gridCol w:w="4536"/>
          </w:tblGrid>
        </w:tblGridChange>
      </w:tblGrid>
      <w:tr>
        <w:trPr>
          <w:cantSplit w:val="0"/>
          <w:trHeight w:val="708" w:hRule="atLeast"/>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294">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95">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296">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97">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298">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99">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tc>
      </w:tr>
      <w:tr>
        <w:trPr>
          <w:cantSplit w:val="0"/>
          <w:trHeight w:val="71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9A">
            <w:pPr>
              <w:rPr>
                <w:rFonts w:ascii="Calibri" w:cs="Calibri" w:eastAsia="Calibri" w:hAnsi="Calibri"/>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Calibri" w:cs="Calibri" w:eastAsia="Calibri" w:hAnsi="Calibri"/>
                <w:rtl w:val="0"/>
              </w:rPr>
              <w:t xml:space="preserve"> </w:t>
            </w:r>
          </w:p>
          <w:p w:rsidR="00000000" w:rsidDel="00000000" w:rsidP="00000000" w:rsidRDefault="00000000" w:rsidRPr="00000000" w14:paraId="0000029B">
            <w:pPr>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[Insert link]</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9C">
            <w:pPr>
              <w:rPr>
                <w:rFonts w:ascii="Calibri" w:cs="Calibri" w:eastAsia="Calibri" w:hAnsi="Calibri"/>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Calibri" w:cs="Calibri" w:eastAsia="Calibri" w:hAnsi="Calibri"/>
                <w:rtl w:val="0"/>
              </w:rPr>
              <w:t xml:space="preserve"> </w:t>
            </w:r>
          </w:p>
          <w:p w:rsidR="00000000" w:rsidDel="00000000" w:rsidP="00000000" w:rsidRDefault="00000000" w:rsidRPr="00000000" w14:paraId="0000029D">
            <w:pPr>
              <w:rPr>
                <w:rFonts w:ascii="Tahoma" w:cs="Tahoma" w:eastAsia="Tahoma" w:hAnsi="Tahoma"/>
                <w:b w:val="1"/>
                <w:sz w:val="20"/>
                <w:szCs w:val="20"/>
              </w:rPr>
            </w:pPr>
            <w:r w:rsidDel="00000000" w:rsidR="00000000" w:rsidRPr="00000000">
              <w:rPr>
                <w:rFonts w:ascii="Tahoma" w:cs="Tahoma" w:eastAsia="Tahoma" w:hAnsi="Tahoma"/>
                <w:b w:val="1"/>
                <w:color w:val="ff0000"/>
                <w:sz w:val="20"/>
                <w:szCs w:val="20"/>
                <w:rtl w:val="0"/>
              </w:rPr>
              <w:t xml:space="preserve">[Insert link]</w:t>
            </w: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9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p>
          <w:p w:rsidR="00000000" w:rsidDel="00000000" w:rsidP="00000000" w:rsidRDefault="00000000" w:rsidRPr="00000000" w14:paraId="0000029F">
            <w:pPr>
              <w:rPr>
                <w:rFonts w:ascii="Tahoma" w:cs="Tahoma" w:eastAsia="Tahoma" w:hAnsi="Tahoma"/>
                <w:b w:val="1"/>
                <w:sz w:val="20"/>
                <w:szCs w:val="20"/>
              </w:rPr>
            </w:pPr>
            <w:r w:rsidDel="00000000" w:rsidR="00000000" w:rsidRPr="00000000">
              <w:rPr>
                <w:rFonts w:ascii="Tahoma" w:cs="Tahoma" w:eastAsia="Tahoma" w:hAnsi="Tahoma"/>
                <w:b w:val="1"/>
                <w:color w:val="ff0000"/>
                <w:sz w:val="20"/>
                <w:szCs w:val="20"/>
                <w:rtl w:val="0"/>
              </w:rPr>
              <w:t xml:space="preserve">[Insert link]</w:t>
            </w:r>
            <w:r w:rsidDel="00000000" w:rsidR="00000000" w:rsidRPr="00000000">
              <w:rPr>
                <w:rtl w:val="0"/>
              </w:rPr>
            </w:r>
          </w:p>
        </w:tc>
      </w:tr>
      <w:tr>
        <w:trPr>
          <w:cantSplit w:val="0"/>
          <w:trHeight w:val="2683"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A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1">
            <w:pPr>
              <w:numPr>
                <w:ilvl w:val="0"/>
                <w:numId w:val="58"/>
              </w:numPr>
              <w:ind w:left="720" w:hanging="36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3">
            <w:pPr>
              <w:numPr>
                <w:ilvl w:val="0"/>
                <w:numId w:val="23"/>
              </w:numPr>
              <w:ind w:left="720" w:hanging="36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5">
            <w:pPr>
              <w:numPr>
                <w:ilvl w:val="0"/>
                <w:numId w:val="52"/>
              </w:numPr>
              <w:ind w:left="720" w:hanging="360"/>
              <w:rPr>
                <w:sz w:val="20"/>
                <w:szCs w:val="20"/>
              </w:rPr>
            </w:pPr>
            <w:r w:rsidDel="00000000" w:rsidR="00000000" w:rsidRPr="00000000">
              <w:rPr>
                <w:rtl w:val="0"/>
              </w:rPr>
            </w:r>
          </w:p>
        </w:tc>
      </w:tr>
    </w:tbl>
    <w:p w:rsidR="00000000" w:rsidDel="00000000" w:rsidP="00000000" w:rsidRDefault="00000000" w:rsidRPr="00000000" w14:paraId="000002A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7">
      <w:pPr>
        <w:numPr>
          <w:ilvl w:val="0"/>
          <w:numId w:val="43"/>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 to </w:t>
      </w:r>
      <w:hyperlink w:anchor="_heading=h.32hioqz">
        <w:r w:rsidDel="00000000" w:rsidR="00000000" w:rsidRPr="00000000">
          <w:rPr>
            <w:rFonts w:ascii="Tahoma" w:cs="Tahoma" w:eastAsia="Tahoma" w:hAnsi="Tahoma"/>
            <w:b w:val="1"/>
            <w:color w:val="63763e"/>
            <w:sz w:val="20"/>
            <w:szCs w:val="20"/>
            <w:u w:val="single"/>
            <w:rtl w:val="0"/>
          </w:rPr>
          <w:t xml:space="preserve">Annex 12b</w:t>
        </w:r>
      </w:hyperlink>
      <w:r w:rsidDel="00000000" w:rsidR="00000000" w:rsidRPr="00000000">
        <w:rPr>
          <w:rFonts w:ascii="Tahoma" w:cs="Tahoma" w:eastAsia="Tahoma" w:hAnsi="Tahoma"/>
          <w:sz w:val="20"/>
          <w:szCs w:val="20"/>
          <w:rtl w:val="0"/>
        </w:rPr>
        <w:t xml:space="preserve"> for the list of 5 domains.</w:t>
      </w:r>
    </w:p>
    <w:p w:rsidR="00000000" w:rsidDel="00000000" w:rsidP="00000000" w:rsidRDefault="00000000" w:rsidRPr="00000000" w14:paraId="000002A8">
      <w:pPr>
        <w:pStyle w:val="Heading3"/>
        <w:rPr/>
      </w:pPr>
      <w:bookmarkStart w:colFirst="0" w:colLast="0" w:name="_heading=h.ihv636" w:id="30"/>
      <w:bookmarkEnd w:id="30"/>
      <w:r w:rsidDel="00000000" w:rsidR="00000000" w:rsidRPr="00000000">
        <w:rPr>
          <w:rtl w:val="0"/>
        </w:rPr>
        <w:t xml:space="preserve">Annex 12a: Gender Analysis Frameworks</w:t>
      </w:r>
      <w:r w:rsidDel="00000000" w:rsidR="00000000" w:rsidRPr="00000000">
        <w:rPr>
          <w:vertAlign w:val="superscript"/>
        </w:rPr>
        <w:footnoteReference w:customMarkFollows="0" w:id="3"/>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5" name=""/>
                <a:graphic>
                  <a:graphicData uri="http://schemas.microsoft.com/office/word/2010/wordprocessingShape">
                    <wps:wsp>
                      <wps:cNvSpPr/>
                      <wps:cNvPr id="9" name="Shape 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5"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A9">
      <w:pPr>
        <w:rPr>
          <w:sz w:val="10"/>
          <w:szCs w:val="10"/>
        </w:rPr>
      </w:pPr>
      <w:r w:rsidDel="00000000" w:rsidR="00000000" w:rsidRPr="00000000">
        <w:rPr>
          <w:rtl w:val="0"/>
        </w:rPr>
      </w:r>
    </w:p>
    <w:p w:rsidR="00000000" w:rsidDel="00000000" w:rsidP="00000000" w:rsidRDefault="00000000" w:rsidRPr="00000000" w14:paraId="000002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Source: </w:t>
      </w:r>
      <w:hyperlink r:id="rId29">
        <w:r w:rsidDel="00000000" w:rsidR="00000000" w:rsidRPr="00000000">
          <w:rPr>
            <w:rFonts w:ascii="Tahoma" w:cs="Tahoma" w:eastAsia="Tahoma" w:hAnsi="Tahoma"/>
            <w:color w:val="0563c1"/>
            <w:sz w:val="20"/>
            <w:szCs w:val="20"/>
            <w:u w:val="single"/>
            <w:rtl w:val="0"/>
          </w:rPr>
          <w:t xml:space="preserve">https://www.equilo.io/gender-analysis</w:t>
        </w:r>
      </w:hyperlink>
      <w:r w:rsidDel="00000000" w:rsidR="00000000" w:rsidRPr="00000000">
        <w:rPr>
          <w:rtl w:val="0"/>
        </w:rPr>
      </w:r>
    </w:p>
    <w:p w:rsidR="00000000" w:rsidDel="00000000" w:rsidP="00000000" w:rsidRDefault="00000000" w:rsidRPr="00000000" w14:paraId="000002AB">
      <w:pPr>
        <w:rPr>
          <w:rFonts w:ascii="Tahoma" w:cs="Tahoma" w:eastAsia="Tahoma" w:hAnsi="Tahoma"/>
        </w:rPr>
      </w:pPr>
      <w:r w:rsidDel="00000000" w:rsidR="00000000" w:rsidRPr="00000000">
        <w:rPr>
          <w:rtl w:val="0"/>
        </w:rPr>
      </w:r>
    </w:p>
    <w:p w:rsidR="00000000" w:rsidDel="00000000" w:rsidP="00000000" w:rsidRDefault="00000000" w:rsidRPr="00000000" w14:paraId="000002A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are a number of</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key historical gender-analysis frameworks</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Historically these have been</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evolving</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We have created this Annex 12awith key frameworks you can reference. </w:t>
      </w:r>
    </w:p>
    <w:tbl>
      <w:tblPr>
        <w:tblStyle w:val="Table22"/>
        <w:tblW w:w="130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9492"/>
        <w:tblGridChange w:id="0">
          <w:tblGrid>
            <w:gridCol w:w="3544"/>
            <w:gridCol w:w="949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2AD">
            <w:pPr>
              <w:spacing w:line="276"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2AE">
            <w:pPr>
              <w:spacing w:line="276" w:lineRule="auto"/>
              <w:jc w:val="center"/>
              <w:rPr>
                <w:rFonts w:ascii="Tahoma" w:cs="Tahoma" w:eastAsia="Tahoma" w:hAnsi="Tahoma"/>
                <w:color w:val="ffffff"/>
              </w:rPr>
            </w:pPr>
            <w:r w:rsidDel="00000000" w:rsidR="00000000" w:rsidRPr="00000000">
              <w:rPr>
                <w:rFonts w:ascii="Tahoma" w:cs="Tahoma" w:eastAsia="Tahoma" w:hAnsi="Tahoma"/>
                <w:b w:val="1"/>
                <w:color w:val="ffffff"/>
                <w:rtl w:val="0"/>
              </w:rPr>
              <w:t xml:space="preserve">Historical Gender-Analysis Frameworks</w:t>
            </w:r>
            <w:r w:rsidDel="00000000" w:rsidR="00000000" w:rsidRPr="00000000">
              <w:rPr>
                <w:rFonts w:ascii="Tahoma" w:cs="Tahoma" w:eastAsia="Tahoma" w:hAnsi="Tahoma"/>
                <w:color w:val="ffffff"/>
                <w:rtl w:val="0"/>
              </w:rPr>
              <w:t xml:space="preserve">:</w:t>
            </w:r>
          </w:p>
          <w:p w:rsidR="00000000" w:rsidDel="00000000" w:rsidP="00000000" w:rsidRDefault="00000000" w:rsidRPr="00000000" w14:paraId="000002AF">
            <w:pPr>
              <w:spacing w:line="276" w:lineRule="auto"/>
              <w:jc w:val="center"/>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2B1">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B2">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Harvard Analytical Framework</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B3">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B4">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demonstrate there is an economic rationale for investing in women as well as men; to map the work of women and men in the community and highlight differences. </w:t>
            </w:r>
          </w:p>
          <w:p w:rsidR="00000000" w:rsidDel="00000000" w:rsidP="00000000" w:rsidRDefault="00000000" w:rsidRPr="00000000" w14:paraId="000002B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6">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Collects and organizes information about gender division of labour; distinguishes between access and control over resources.</w:t>
            </w:r>
          </w:p>
          <w:p w:rsidR="00000000" w:rsidDel="00000000" w:rsidP="00000000" w:rsidRDefault="00000000" w:rsidRPr="00000000" w14:paraId="000002B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8">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Tends to oversimplify, based on tick box approach; ignores other inequalities such as race, class and ethnicity.</w:t>
            </w:r>
          </w:p>
          <w:p w:rsidR="00000000" w:rsidDel="00000000" w:rsidP="00000000" w:rsidRDefault="00000000" w:rsidRPr="00000000" w14:paraId="000002B9">
            <w:pPr>
              <w:spacing w:line="276" w:lineRule="auto"/>
              <w:rPr>
                <w:rFonts w:ascii="Tahoma" w:cs="Tahoma" w:eastAsia="Tahoma" w:hAnsi="Tahoma"/>
                <w:sz w:val="13"/>
                <w:szCs w:val="13"/>
              </w:rPr>
            </w:pPr>
            <w:r w:rsidDel="00000000" w:rsidR="00000000" w:rsidRPr="00000000">
              <w:rPr>
                <w:rtl w:val="0"/>
              </w:rPr>
            </w:r>
          </w:p>
        </w:tc>
      </w:tr>
      <w:tr>
        <w:trPr>
          <w:cantSplit w:val="0"/>
          <w:trHeight w:val="3232" w:hRule="atLeast"/>
          <w:tblHeader w:val="0"/>
        </w:trPr>
        <w:tc>
          <w:tcPr>
            <w:tcBorders>
              <w:top w:color="ffffff" w:space="0" w:sz="4" w:val="single"/>
              <w:left w:color="000000" w:space="0" w:sz="0" w:val="nil"/>
              <w:bottom w:color="000000" w:space="0" w:sz="0" w:val="nil"/>
              <w:right w:color="000000" w:space="0" w:sz="0" w:val="nil"/>
            </w:tcBorders>
            <w:shd w:fill="f9d380" w:val="clear"/>
          </w:tcPr>
          <w:p w:rsidR="00000000" w:rsidDel="00000000" w:rsidP="00000000" w:rsidRDefault="00000000" w:rsidRPr="00000000" w14:paraId="000002BA">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BB">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Moser Framework </w:t>
            </w:r>
          </w:p>
          <w:p w:rsidR="00000000" w:rsidDel="00000000" w:rsidP="00000000" w:rsidRDefault="00000000" w:rsidRPr="00000000" w14:paraId="000002BC">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(Gender Planning Framework – Caroline Moser)</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BD">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BE">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Focus on strategic gender needs and concentrate on gender inequalities and how to address these at programme and policy level.  </w:t>
            </w:r>
          </w:p>
          <w:p w:rsidR="00000000" w:rsidDel="00000000" w:rsidP="00000000" w:rsidRDefault="00000000" w:rsidRPr="00000000" w14:paraId="000002B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0">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Makes all work visible through the concept of triple roles; distinguishes between practical gender needs (those that relate to women’s daily life) and strategic gender needs (those that potentially transform the current situation).</w:t>
            </w:r>
          </w:p>
          <w:p w:rsidR="00000000" w:rsidDel="00000000" w:rsidP="00000000" w:rsidRDefault="00000000" w:rsidRPr="00000000" w14:paraId="000002C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2">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Framework does not mention other inequalities like class, race and ethnicity; looks at separate, rather than inter-related activities of women and men; framework is static and does not examine change over time.</w:t>
            </w:r>
          </w:p>
        </w:tc>
      </w:tr>
      <w:tr>
        <w:trPr>
          <w:cantSplit w:val="0"/>
          <w:tblHeader w:val="0"/>
        </w:trPr>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2C3">
            <w:pPr>
              <w:spacing w:line="276"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C4">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Social Relations Framework </w:t>
            </w:r>
          </w:p>
          <w:p w:rsidR="00000000" w:rsidDel="00000000" w:rsidP="00000000" w:rsidRDefault="00000000" w:rsidRPr="00000000" w14:paraId="000002C5">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(Naila Kabeer IDS)</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C6">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C7">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Analyze gender inequalities in the distribution of resources, responsibilities and power; analyze the relationships between people, their relationships to resources and activities and how these are reworked through institutions; to emphasize the human well-being as the final goal of development.</w:t>
            </w:r>
          </w:p>
          <w:p w:rsidR="00000000" w:rsidDel="00000000" w:rsidP="00000000" w:rsidRDefault="00000000" w:rsidRPr="00000000" w14:paraId="000002C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9">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Conceptualizes gender as central to development thinking and not an add-on; highlights interactions between inequalities (race, class, ethnicity) </w:t>
            </w:r>
          </w:p>
          <w:p w:rsidR="00000000" w:rsidDel="00000000" w:rsidP="00000000" w:rsidRDefault="00000000" w:rsidRPr="00000000" w14:paraId="000002C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Centers analysis on institutions and highlights their political aspects.</w:t>
            </w:r>
          </w:p>
          <w:p w:rsidR="00000000" w:rsidDel="00000000" w:rsidP="00000000" w:rsidRDefault="00000000" w:rsidRPr="00000000" w14:paraId="000002C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C">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Since it looks at all inequalities, the focus on gender can be lost. </w:t>
            </w:r>
          </w:p>
          <w:p w:rsidR="00000000" w:rsidDel="00000000" w:rsidP="00000000" w:rsidRDefault="00000000" w:rsidRPr="00000000" w14:paraId="000002C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9d380" w:val="clear"/>
          </w:tcPr>
          <w:p w:rsidR="00000000" w:rsidDel="00000000" w:rsidP="00000000" w:rsidRDefault="00000000" w:rsidRPr="00000000" w14:paraId="000002CE">
            <w:pPr>
              <w:spacing w:line="276"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CF">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Women’s Empowerment Framework</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D0">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D1">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sz w:val="20"/>
                <w:szCs w:val="20"/>
                <w:rtl w:val="0"/>
              </w:rPr>
              <w:t xml:space="preserve"> To achieve women’s empowerment by enabling women to achieve equal control over factors of production and participate equally in the development process. </w:t>
            </w:r>
          </w:p>
          <w:p w:rsidR="00000000" w:rsidDel="00000000" w:rsidP="00000000" w:rsidRDefault="00000000" w:rsidRPr="00000000" w14:paraId="000002D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3">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Articulates empowerment as essential element of development; enables assessment of interventions based on grounds of empowerment; aims to change attitudes.</w:t>
            </w:r>
          </w:p>
          <w:p w:rsidR="00000000" w:rsidDel="00000000" w:rsidP="00000000" w:rsidRDefault="00000000" w:rsidRPr="00000000" w14:paraId="000002D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5">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Framework profiles are statis and do not take account of change over time; ignores other forms of inequality.  </w:t>
            </w:r>
          </w:p>
          <w:p w:rsidR="00000000" w:rsidDel="00000000" w:rsidP="00000000" w:rsidRDefault="00000000" w:rsidRPr="00000000" w14:paraId="000002D6">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D7">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18" name=""/>
                <a:graphic>
                  <a:graphicData uri="http://schemas.microsoft.com/office/word/2010/wordprocessingShape">
                    <wps:wsp>
                      <wps:cNvSpPr/>
                      <wps:cNvPr id="2" name="Shape 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18"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D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9">
      <w:pPr>
        <w:rPr>
          <w:rFonts w:ascii="Tahoma" w:cs="Tahoma" w:eastAsia="Tahoma" w:hAnsi="Tahoma"/>
        </w:rPr>
      </w:pPr>
      <w:r w:rsidDel="00000000" w:rsidR="00000000" w:rsidRPr="00000000">
        <w:rPr>
          <w:rtl w:val="0"/>
        </w:rPr>
      </w:r>
    </w:p>
    <w:p w:rsidR="00000000" w:rsidDel="00000000" w:rsidP="00000000" w:rsidRDefault="00000000" w:rsidRPr="00000000" w14:paraId="000002DA">
      <w:pPr>
        <w:rPr>
          <w:rFonts w:ascii="Tahoma" w:cs="Tahoma" w:eastAsia="Tahoma" w:hAnsi="Tahoma"/>
        </w:rPr>
      </w:pPr>
      <w:r w:rsidDel="00000000" w:rsidR="00000000" w:rsidRPr="00000000">
        <w:rPr>
          <w:rtl w:val="0"/>
        </w:rPr>
      </w:r>
    </w:p>
    <w:p w:rsidR="00000000" w:rsidDel="00000000" w:rsidP="00000000" w:rsidRDefault="00000000" w:rsidRPr="00000000" w14:paraId="000002DB">
      <w:pPr>
        <w:rPr>
          <w:rFonts w:ascii="Tahoma" w:cs="Tahoma" w:eastAsia="Tahoma" w:hAnsi="Tahoma"/>
        </w:rPr>
      </w:pPr>
      <w:r w:rsidDel="00000000" w:rsidR="00000000" w:rsidRPr="00000000">
        <w:rPr>
          <w:rtl w:val="0"/>
        </w:rPr>
      </w:r>
    </w:p>
    <w:p w:rsidR="00000000" w:rsidDel="00000000" w:rsidP="00000000" w:rsidRDefault="00000000" w:rsidRPr="00000000" w14:paraId="000002DC">
      <w:pPr>
        <w:rPr>
          <w:rFonts w:ascii="Tahoma" w:cs="Tahoma" w:eastAsia="Tahoma" w:hAnsi="Tahoma"/>
        </w:rPr>
      </w:pPr>
      <w:r w:rsidDel="00000000" w:rsidR="00000000" w:rsidRPr="00000000">
        <w:rPr>
          <w:rtl w:val="0"/>
        </w:rPr>
      </w:r>
    </w:p>
    <w:p w:rsidR="00000000" w:rsidDel="00000000" w:rsidP="00000000" w:rsidRDefault="00000000" w:rsidRPr="00000000" w14:paraId="000002DD">
      <w:pPr>
        <w:rPr>
          <w:rFonts w:ascii="Tahoma" w:cs="Tahoma" w:eastAsia="Tahoma" w:hAnsi="Tahoma"/>
        </w:rPr>
      </w:pPr>
      <w:r w:rsidDel="00000000" w:rsidR="00000000" w:rsidRPr="00000000">
        <w:rPr>
          <w:rtl w:val="0"/>
        </w:rPr>
      </w:r>
    </w:p>
    <w:p w:rsidR="00000000" w:rsidDel="00000000" w:rsidP="00000000" w:rsidRDefault="00000000" w:rsidRPr="00000000" w14:paraId="000002DE">
      <w:pPr>
        <w:rPr>
          <w:rFonts w:ascii="Tahoma" w:cs="Tahoma" w:eastAsia="Tahoma" w:hAnsi="Tahoma"/>
        </w:rPr>
      </w:pPr>
      <w:r w:rsidDel="00000000" w:rsidR="00000000" w:rsidRPr="00000000">
        <w:rPr>
          <w:rtl w:val="0"/>
        </w:rPr>
      </w:r>
    </w:p>
    <w:p w:rsidR="00000000" w:rsidDel="00000000" w:rsidP="00000000" w:rsidRDefault="00000000" w:rsidRPr="00000000" w14:paraId="000002DF">
      <w:pPr>
        <w:rPr>
          <w:rFonts w:ascii="Tahoma" w:cs="Tahoma" w:eastAsia="Tahoma" w:hAnsi="Tahoma"/>
        </w:rPr>
      </w:pPr>
      <w:r w:rsidDel="00000000" w:rsidR="00000000" w:rsidRPr="00000000">
        <w:rPr>
          <w:rtl w:val="0"/>
        </w:rPr>
      </w:r>
    </w:p>
    <w:p w:rsidR="00000000" w:rsidDel="00000000" w:rsidP="00000000" w:rsidRDefault="00000000" w:rsidRPr="00000000" w14:paraId="000002E0">
      <w:pPr>
        <w:rPr>
          <w:rFonts w:ascii="Tahoma" w:cs="Tahoma" w:eastAsia="Tahoma" w:hAnsi="Tahoma"/>
        </w:rPr>
      </w:pPr>
      <w:r w:rsidDel="00000000" w:rsidR="00000000" w:rsidRPr="00000000">
        <w:rPr>
          <w:rtl w:val="0"/>
        </w:rPr>
      </w:r>
    </w:p>
    <w:p w:rsidR="00000000" w:rsidDel="00000000" w:rsidP="00000000" w:rsidRDefault="00000000" w:rsidRPr="00000000" w14:paraId="000002E1">
      <w:pPr>
        <w:rPr>
          <w:rFonts w:ascii="Tahoma" w:cs="Tahoma" w:eastAsia="Tahoma" w:hAnsi="Tahoma"/>
        </w:rPr>
      </w:pPr>
      <w:r w:rsidDel="00000000" w:rsidR="00000000" w:rsidRPr="00000000">
        <w:rPr>
          <w:rtl w:val="0"/>
        </w:rPr>
      </w:r>
    </w:p>
    <w:p w:rsidR="00000000" w:rsidDel="00000000" w:rsidP="00000000" w:rsidRDefault="00000000" w:rsidRPr="00000000" w14:paraId="000002E2">
      <w:pPr>
        <w:pStyle w:val="Heading3"/>
        <w:rPr/>
      </w:pPr>
      <w:bookmarkStart w:colFirst="0" w:colLast="0" w:name="_heading=h.32hioqz" w:id="31"/>
      <w:bookmarkEnd w:id="31"/>
      <w:r w:rsidDel="00000000" w:rsidR="00000000" w:rsidRPr="00000000">
        <w:rPr>
          <w:rtl w:val="0"/>
        </w:rPr>
        <w:t xml:space="preserve">Annex 12b: Gender Analysis Domains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0" name=""/>
                <a:graphic>
                  <a:graphicData uri="http://schemas.microsoft.com/office/word/2010/wordprocessingShape">
                    <wps:wsp>
                      <wps:cNvSpPr/>
                      <wps:cNvPr id="14" name="Shape 1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30"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E3">
      <w:pPr>
        <w:rPr>
          <w:rFonts w:ascii="Tahoma" w:cs="Tahoma" w:eastAsia="Tahoma" w:hAnsi="Tahoma"/>
          <w:sz w:val="18"/>
          <w:szCs w:val="18"/>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E4">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Roles &amp; responsibilities</w:t>
      </w:r>
    </w:p>
    <w:p w:rsidR="00000000" w:rsidDel="00000000" w:rsidP="00000000" w:rsidRDefault="00000000" w:rsidRPr="00000000" w14:paraId="000002E5">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2E6">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how gender shapes the way people spend their work and leisure time and how they relate to each other in the distribution of roles within households, at work and within the community.  This usually includes productive, reproductive and community labour, and can also include what people are expected NOT to do, in addition to the behaviours and activities that they </w:t>
      </w:r>
      <w:r w:rsidDel="00000000" w:rsidR="00000000" w:rsidRPr="00000000">
        <w:rPr>
          <w:rFonts w:ascii="Tahoma" w:cs="Tahoma" w:eastAsia="Tahoma" w:hAnsi="Tahoma"/>
          <w:i w:val="1"/>
          <w:sz w:val="20"/>
          <w:szCs w:val="20"/>
          <w:rtl w:val="0"/>
        </w:rPr>
        <w:t xml:space="preserve">are </w:t>
      </w:r>
      <w:r w:rsidDel="00000000" w:rsidR="00000000" w:rsidRPr="00000000">
        <w:rPr>
          <w:rFonts w:ascii="Tahoma" w:cs="Tahoma" w:eastAsia="Tahoma" w:hAnsi="Tahoma"/>
          <w:sz w:val="20"/>
          <w:szCs w:val="20"/>
          <w:rtl w:val="0"/>
        </w:rPr>
        <w:t xml:space="preserve">expected to do.</w:t>
      </w:r>
    </w:p>
    <w:p w:rsidR="00000000" w:rsidDel="00000000" w:rsidP="00000000" w:rsidRDefault="00000000" w:rsidRPr="00000000" w14:paraId="000002E7">
      <w:pPr>
        <w:spacing w:line="276" w:lineRule="auto"/>
        <w:ind w:right="911"/>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8">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Social norms/gender norms</w:t>
      </w:r>
    </w:p>
    <w:p w:rsidR="00000000" w:rsidDel="00000000" w:rsidP="00000000" w:rsidRDefault="00000000" w:rsidRPr="00000000" w14:paraId="000002E9">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2EA">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norms are social norms defining acceptable and appropriate actions for women and men in a given group or society. They are embedded in formal and informal institutions, nested in the mind, and produced and reproduced through social interaction</w:t>
      </w:r>
    </w:p>
    <w:p w:rsidR="00000000" w:rsidDel="00000000" w:rsidP="00000000" w:rsidRDefault="00000000" w:rsidRPr="00000000" w14:paraId="000002EB">
      <w:pPr>
        <w:spacing w:line="276" w:lineRule="auto"/>
        <w:ind w:right="911"/>
        <w:rPr>
          <w:rFonts w:ascii="Tahoma" w:cs="Tahoma" w:eastAsia="Tahoma" w:hAnsi="Tahoma"/>
          <w:color w:val="63763e"/>
          <w:sz w:val="20"/>
          <w:szCs w:val="20"/>
        </w:rPr>
      </w:pPr>
      <w:r w:rsidDel="00000000" w:rsidR="00000000" w:rsidRPr="00000000">
        <w:rPr>
          <w:rtl w:val="0"/>
        </w:rPr>
      </w:r>
    </w:p>
    <w:p w:rsidR="00000000" w:rsidDel="00000000" w:rsidP="00000000" w:rsidRDefault="00000000" w:rsidRPr="00000000" w14:paraId="000002EC">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Participation and decision making</w:t>
      </w:r>
    </w:p>
    <w:p w:rsidR="00000000" w:rsidDel="00000000" w:rsidP="00000000" w:rsidRDefault="00000000" w:rsidRPr="00000000" w14:paraId="000002ED">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2EE">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the nature of and degree to which an individual exercises agency in their lives and in their community, as well as the physical and figurative decision-making spaces to which they are allowed access.  This usually reflects a scale – where participation is important but the power to make or contribute to decisions (at the household and community level) is optimal.</w:t>
      </w:r>
    </w:p>
    <w:p w:rsidR="00000000" w:rsidDel="00000000" w:rsidP="00000000" w:rsidRDefault="00000000" w:rsidRPr="00000000" w14:paraId="000002EF">
      <w:pPr>
        <w:spacing w:line="276" w:lineRule="auto"/>
        <w:ind w:right="911"/>
        <w:rPr>
          <w:rFonts w:ascii="Tahoma" w:cs="Tahoma" w:eastAsia="Tahoma" w:hAnsi="Tahoma"/>
          <w:color w:val="63763e"/>
          <w:sz w:val="20"/>
          <w:szCs w:val="20"/>
        </w:rPr>
      </w:pPr>
      <w:r w:rsidDel="00000000" w:rsidR="00000000" w:rsidRPr="00000000">
        <w:rPr>
          <w:rtl w:val="0"/>
        </w:rPr>
      </w:r>
    </w:p>
    <w:p w:rsidR="00000000" w:rsidDel="00000000" w:rsidP="00000000" w:rsidRDefault="00000000" w:rsidRPr="00000000" w14:paraId="000002F0">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Access to/control over resources</w:t>
      </w:r>
    </w:p>
    <w:p w:rsidR="00000000" w:rsidDel="00000000" w:rsidP="00000000" w:rsidRDefault="00000000" w:rsidRPr="00000000" w14:paraId="000002F1">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2F2">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role of gender in determining a person’s ability or freedom to benefit from and use a variety of resources, from financial resources to public services, including access to and control over things like information, transportation, and land.  Key to this is the difference between access to and control of.</w:t>
      </w:r>
    </w:p>
    <w:p w:rsidR="00000000" w:rsidDel="00000000" w:rsidP="00000000" w:rsidRDefault="00000000" w:rsidRPr="00000000" w14:paraId="000002F3">
      <w:pPr>
        <w:spacing w:line="276" w:lineRule="auto"/>
        <w:ind w:right="911"/>
        <w:rPr>
          <w:rFonts w:ascii="Tahoma" w:cs="Tahoma" w:eastAsia="Tahoma" w:hAnsi="Tahoma"/>
          <w:color w:val="63763e"/>
          <w:sz w:val="20"/>
          <w:szCs w:val="20"/>
        </w:rPr>
      </w:pPr>
      <w:r w:rsidDel="00000000" w:rsidR="00000000" w:rsidRPr="00000000">
        <w:rPr>
          <w:rtl w:val="0"/>
        </w:rPr>
      </w:r>
    </w:p>
    <w:p w:rsidR="00000000" w:rsidDel="00000000" w:rsidP="00000000" w:rsidRDefault="00000000" w:rsidRPr="00000000" w14:paraId="000002F4">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Systemic/institutional norms</w:t>
      </w:r>
    </w:p>
    <w:p w:rsidR="00000000" w:rsidDel="00000000" w:rsidP="00000000" w:rsidRDefault="00000000" w:rsidRPr="00000000" w14:paraId="000002F5">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2F6">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refers to the policy and institutional environment that has been shaped by, and in turn contributes to, the realization of rights, prevailing gender norms, and the achievement (or absence) of gender justice and equality.  This can include constitutional and legislative elements at the national level, but can also refer to the functioning of systems and institutions down to the community level as well.</w:t>
      </w:r>
    </w:p>
    <w:p w:rsidR="00000000" w:rsidDel="00000000" w:rsidP="00000000" w:rsidRDefault="00000000" w:rsidRPr="00000000" w14:paraId="000002F7">
      <w:pPr>
        <w:rPr>
          <w:rFonts w:ascii="Tahoma" w:cs="Tahoma" w:eastAsia="Tahoma" w:hAnsi="Tahoma"/>
        </w:rPr>
      </w:pPr>
      <w:r w:rsidDel="00000000" w:rsidR="00000000" w:rsidRPr="00000000">
        <w:rPr>
          <w:rtl w:val="0"/>
        </w:rPr>
      </w:r>
    </w:p>
    <w:p w:rsidR="00000000" w:rsidDel="00000000" w:rsidP="00000000" w:rsidRDefault="00000000" w:rsidRPr="00000000" w14:paraId="000002F8">
      <w:pPr>
        <w:pStyle w:val="Heading3"/>
        <w:rPr/>
      </w:pPr>
      <w:bookmarkStart w:colFirst="0" w:colLast="0" w:name="_heading=h.1hmsyys" w:id="32"/>
      <w:bookmarkEnd w:id="32"/>
      <w:r w:rsidDel="00000000" w:rsidR="00000000" w:rsidRPr="00000000">
        <w:rPr>
          <w:rtl w:val="0"/>
        </w:rPr>
        <w:t xml:space="preserve">Annex 12c: Gender Analysis Resources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7" name=""/>
                <a:graphic>
                  <a:graphicData uri="http://schemas.microsoft.com/office/word/2010/wordprocessingShape">
                    <wps:wsp>
                      <wps:cNvSpPr/>
                      <wps:cNvPr id="11" name="Shape 1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227"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F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FA">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Engendering Transformational Change: Save the Children Gender Equality Program Guidance &amp; Toolkit</w:t>
      </w:r>
      <w:r w:rsidDel="00000000" w:rsidR="00000000" w:rsidRPr="00000000">
        <w:rPr>
          <w:rFonts w:ascii="Tahoma" w:cs="Tahoma" w:eastAsia="Tahoma" w:hAnsi="Tahoma"/>
          <w:sz w:val="20"/>
          <w:szCs w:val="20"/>
          <w:rtl w:val="0"/>
        </w:rPr>
        <w:t xml:space="preserve">. Save the Children. 2014.</w:t>
      </w:r>
    </w:p>
    <w:p w:rsidR="00000000" w:rsidDel="00000000" w:rsidP="00000000" w:rsidRDefault="00000000" w:rsidRPr="00000000" w14:paraId="000002FB">
      <w:pPr>
        <w:spacing w:line="276" w:lineRule="auto"/>
        <w:rPr>
          <w:rFonts w:ascii="Tahoma" w:cs="Tahoma" w:eastAsia="Tahoma" w:hAnsi="Tahoma"/>
          <w:sz w:val="20"/>
          <w:szCs w:val="20"/>
        </w:rPr>
      </w:pPr>
      <w:hyperlink r:id="rId33">
        <w:r w:rsidDel="00000000" w:rsidR="00000000" w:rsidRPr="00000000">
          <w:rPr>
            <w:rFonts w:ascii="Tahoma" w:cs="Tahoma" w:eastAsia="Tahoma" w:hAnsi="Tahoma"/>
            <w:color w:val="0563c1"/>
            <w:sz w:val="20"/>
            <w:szCs w:val="20"/>
            <w:u w:val="single"/>
            <w:rtl w:val="0"/>
          </w:rPr>
          <w:t xml:space="preserve">https://resourcecentre.savethechildren.net/sites/default/files/documents/genderequalitytoolkit_es_20final.pdf</w:t>
        </w:r>
      </w:hyperlink>
      <w:r w:rsidDel="00000000" w:rsidR="00000000" w:rsidRPr="00000000">
        <w:rPr>
          <w:rtl w:val="0"/>
        </w:rPr>
      </w:r>
    </w:p>
    <w:p w:rsidR="00000000" w:rsidDel="00000000" w:rsidP="00000000" w:rsidRDefault="00000000" w:rsidRPr="00000000" w14:paraId="000002F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Ten Gender Analysis Frameworks &amp; Tools to Aid with Health Systems Research. UK Aid. 2015.</w:t>
      </w:r>
    </w:p>
    <w:p w:rsidR="00000000" w:rsidDel="00000000" w:rsidP="00000000" w:rsidRDefault="00000000" w:rsidRPr="00000000" w14:paraId="000002FE">
      <w:pPr>
        <w:spacing w:line="276" w:lineRule="auto"/>
        <w:rPr>
          <w:rFonts w:ascii="Tahoma" w:cs="Tahoma" w:eastAsia="Tahoma" w:hAnsi="Tahoma"/>
          <w:sz w:val="20"/>
          <w:szCs w:val="20"/>
        </w:rPr>
      </w:pPr>
      <w:hyperlink r:id="rId34">
        <w:r w:rsidDel="00000000" w:rsidR="00000000" w:rsidRPr="00000000">
          <w:rPr>
            <w:rFonts w:ascii="Tahoma" w:cs="Tahoma" w:eastAsia="Tahoma" w:hAnsi="Tahoma"/>
            <w:color w:val="0563c1"/>
            <w:sz w:val="20"/>
            <w:szCs w:val="20"/>
            <w:u w:val="single"/>
            <w:rtl w:val="0"/>
          </w:rPr>
          <w:t xml:space="preserve">https://ringsgenderresearch.org/wp-content/uploads/2018/07/Ten-Gender-Analysis-Frameworks-and-Tools-to-Aid-with-HSR.pdf</w:t>
        </w:r>
      </w:hyperlink>
      <w:r w:rsidDel="00000000" w:rsidR="00000000" w:rsidRPr="00000000">
        <w:rPr>
          <w:rtl w:val="0"/>
        </w:rPr>
      </w:r>
    </w:p>
    <w:p w:rsidR="00000000" w:rsidDel="00000000" w:rsidP="00000000" w:rsidRDefault="00000000" w:rsidRPr="00000000" w14:paraId="000002F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Gender Analysis</w:t>
      </w:r>
    </w:p>
    <w:p w:rsidR="00000000" w:rsidDel="00000000" w:rsidP="00000000" w:rsidRDefault="00000000" w:rsidRPr="00000000" w14:paraId="00000301">
      <w:pPr>
        <w:spacing w:line="276" w:lineRule="auto"/>
        <w:rPr>
          <w:rFonts w:ascii="Tahoma" w:cs="Tahoma" w:eastAsia="Tahoma" w:hAnsi="Tahoma"/>
          <w:sz w:val="20"/>
          <w:szCs w:val="20"/>
        </w:rPr>
      </w:pPr>
      <w:hyperlink r:id="rId35">
        <w:r w:rsidDel="00000000" w:rsidR="00000000" w:rsidRPr="00000000">
          <w:rPr>
            <w:rFonts w:ascii="Tahoma" w:cs="Tahoma" w:eastAsia="Tahoma" w:hAnsi="Tahoma"/>
            <w:color w:val="0563c1"/>
            <w:sz w:val="20"/>
            <w:szCs w:val="20"/>
            <w:u w:val="single"/>
            <w:rtl w:val="0"/>
          </w:rPr>
          <w:t xml:space="preserve">https://www.international.gc.ca/world-monde/funding-financement/gender_analysis-analyse_comparative.aspx?lang=eng</w:t>
        </w:r>
      </w:hyperlink>
      <w:r w:rsidDel="00000000" w:rsidR="00000000" w:rsidRPr="00000000">
        <w:rPr>
          <w:rtl w:val="0"/>
        </w:rPr>
      </w:r>
    </w:p>
    <w:p w:rsidR="00000000" w:rsidDel="00000000" w:rsidP="00000000" w:rsidRDefault="00000000" w:rsidRPr="00000000" w14:paraId="0000030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Jhpiego Gender Analysis Toolkit for Health Systems</w:t>
      </w:r>
    </w:p>
    <w:p w:rsidR="00000000" w:rsidDel="00000000" w:rsidP="00000000" w:rsidRDefault="00000000" w:rsidRPr="00000000" w14:paraId="00000304">
      <w:pPr>
        <w:spacing w:line="276" w:lineRule="auto"/>
        <w:rPr>
          <w:rFonts w:ascii="Tahoma" w:cs="Tahoma" w:eastAsia="Tahoma" w:hAnsi="Tahoma"/>
          <w:sz w:val="20"/>
          <w:szCs w:val="20"/>
        </w:rPr>
      </w:pPr>
      <w:hyperlink r:id="rId36">
        <w:r w:rsidDel="00000000" w:rsidR="00000000" w:rsidRPr="00000000">
          <w:rPr>
            <w:rFonts w:ascii="Tahoma" w:cs="Tahoma" w:eastAsia="Tahoma" w:hAnsi="Tahoma"/>
            <w:color w:val="0563c1"/>
            <w:sz w:val="20"/>
            <w:szCs w:val="20"/>
            <w:u w:val="single"/>
            <w:rtl w:val="0"/>
          </w:rPr>
          <w:t xml:space="preserve">https://gender.jhpiego.org/analysistoolkit/gender-analysis-framework/</w:t>
        </w:r>
      </w:hyperlink>
      <w:r w:rsidDel="00000000" w:rsidR="00000000" w:rsidRPr="00000000">
        <w:rPr>
          <w:rtl w:val="0"/>
        </w:rPr>
      </w:r>
    </w:p>
    <w:p w:rsidR="00000000" w:rsidDel="00000000" w:rsidP="00000000" w:rsidRDefault="00000000" w:rsidRPr="00000000" w14:paraId="0000030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Oxfam Guide to Gender Analysis Frameworks</w:t>
      </w:r>
    </w:p>
    <w:p w:rsidR="00000000" w:rsidDel="00000000" w:rsidP="00000000" w:rsidRDefault="00000000" w:rsidRPr="00000000" w14:paraId="00000307">
      <w:pPr>
        <w:spacing w:line="276" w:lineRule="auto"/>
        <w:rPr>
          <w:rFonts w:ascii="Tahoma" w:cs="Tahoma" w:eastAsia="Tahoma" w:hAnsi="Tahoma"/>
          <w:sz w:val="20"/>
          <w:szCs w:val="20"/>
        </w:rPr>
      </w:pPr>
      <w:hyperlink r:id="rId37">
        <w:r w:rsidDel="00000000" w:rsidR="00000000" w:rsidRPr="00000000">
          <w:rPr>
            <w:rFonts w:ascii="Tahoma" w:cs="Tahoma" w:eastAsia="Tahoma" w:hAnsi="Tahoma"/>
            <w:color w:val="0563c1"/>
            <w:sz w:val="20"/>
            <w:szCs w:val="20"/>
            <w:u w:val="single"/>
            <w:rtl w:val="0"/>
          </w:rPr>
          <w:t xml:space="preserve">https://www.ndi.org/sites/default/files/Guide%20to%20Gender%20Analysis%20Frameworks.pdf</w:t>
        </w:r>
      </w:hyperlink>
      <w:r w:rsidDel="00000000" w:rsidR="00000000" w:rsidRPr="00000000">
        <w:rPr>
          <w:rtl w:val="0"/>
        </w:rPr>
      </w:r>
    </w:p>
    <w:p w:rsidR="00000000" w:rsidDel="00000000" w:rsidP="00000000" w:rsidRDefault="00000000" w:rsidRPr="00000000" w14:paraId="0000030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Equilo Gender Analysis</w:t>
      </w:r>
    </w:p>
    <w:p w:rsidR="00000000" w:rsidDel="00000000" w:rsidP="00000000" w:rsidRDefault="00000000" w:rsidRPr="00000000" w14:paraId="0000030A">
      <w:pPr>
        <w:spacing w:line="276" w:lineRule="auto"/>
        <w:rPr>
          <w:rFonts w:ascii="Tahoma" w:cs="Tahoma" w:eastAsia="Tahoma" w:hAnsi="Tahoma"/>
          <w:sz w:val="20"/>
          <w:szCs w:val="20"/>
        </w:rPr>
      </w:pPr>
      <w:hyperlink r:id="rId38">
        <w:r w:rsidDel="00000000" w:rsidR="00000000" w:rsidRPr="00000000">
          <w:rPr>
            <w:rFonts w:ascii="Tahoma" w:cs="Tahoma" w:eastAsia="Tahoma" w:hAnsi="Tahoma"/>
            <w:color w:val="0563c1"/>
            <w:sz w:val="20"/>
            <w:szCs w:val="20"/>
            <w:u w:val="single"/>
            <w:rtl w:val="0"/>
          </w:rPr>
          <w:t xml:space="preserve">https://www.equilo.io/gender-analysis</w:t>
        </w:r>
      </w:hyperlink>
      <w:r w:rsidDel="00000000" w:rsidR="00000000" w:rsidRPr="00000000">
        <w:rPr>
          <w:rtl w:val="0"/>
        </w:rPr>
      </w:r>
    </w:p>
    <w:p w:rsidR="00000000" w:rsidDel="00000000" w:rsidP="00000000" w:rsidRDefault="00000000" w:rsidRPr="00000000" w14:paraId="0000030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Cascape Manual on Gender Analysis Tools</w:t>
      </w:r>
    </w:p>
    <w:p w:rsidR="00000000" w:rsidDel="00000000" w:rsidP="00000000" w:rsidRDefault="00000000" w:rsidRPr="00000000" w14:paraId="0000030D">
      <w:pPr>
        <w:spacing w:line="276" w:lineRule="auto"/>
        <w:rPr>
          <w:rFonts w:ascii="Tahoma" w:cs="Tahoma" w:eastAsia="Tahoma" w:hAnsi="Tahoma"/>
          <w:sz w:val="20"/>
          <w:szCs w:val="20"/>
        </w:rPr>
      </w:pPr>
      <w:hyperlink r:id="rId39">
        <w:r w:rsidDel="00000000" w:rsidR="00000000" w:rsidRPr="00000000">
          <w:rPr>
            <w:rFonts w:ascii="Tahoma" w:cs="Tahoma" w:eastAsia="Tahoma" w:hAnsi="Tahoma"/>
            <w:color w:val="0563c1"/>
            <w:sz w:val="20"/>
            <w:szCs w:val="20"/>
            <w:u w:val="single"/>
            <w:rtl w:val="0"/>
          </w:rPr>
          <w:t xml:space="preserve">https://agriprofocus.com/upload/CASCAPE_Manual_Gender_Analysis_Tools_FINAL1456840468.pdf</w:t>
        </w:r>
      </w:hyperlink>
      <w:r w:rsidDel="00000000" w:rsidR="00000000" w:rsidRPr="00000000">
        <w:rPr>
          <w:rtl w:val="0"/>
        </w:rPr>
      </w:r>
    </w:p>
    <w:p w:rsidR="00000000" w:rsidDel="00000000" w:rsidP="00000000" w:rsidRDefault="00000000" w:rsidRPr="00000000" w14:paraId="0000030E">
      <w:pPr>
        <w:spacing w:line="276" w:lineRule="auto"/>
        <w:rPr>
          <w:rFonts w:ascii="Tahoma" w:cs="Tahoma" w:eastAsia="Tahoma" w:hAnsi="Tahoma"/>
          <w:sz w:val="20"/>
          <w:szCs w:val="20"/>
        </w:rPr>
      </w:pPr>
      <w:r w:rsidDel="00000000" w:rsidR="00000000" w:rsidRPr="00000000">
        <w:rPr>
          <w:rtl w:val="0"/>
        </w:rPr>
      </w:r>
    </w:p>
    <w:sectPr>
      <w:headerReference r:id="rId40" w:type="default"/>
      <w:headerReference r:id="rId41" w:type="first"/>
      <w:footerReference r:id="rId42" w:type="default"/>
      <w:footerReference r:id="rId43" w:type="even"/>
      <w:pgSz w:h="12240" w:w="15840" w:orient="landscape"/>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5">
    <w:pPr>
      <w:ind w:right="360"/>
      <w:rPr>
        <w:rFonts w:ascii="Helvetica Neue" w:cs="Helvetica Neue" w:eastAsia="Helvetica Neue" w:hAnsi="Helvetica Neue"/>
        <w:b w:val="1"/>
        <w:color w:val="2f2f2f"/>
        <w:sz w:val="13"/>
        <w:szCs w:val="13"/>
        <w:highlight w:val="whit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29600" cy="22225"/>
          <wp:effectExtent b="0" l="0" r="0" t="0"/>
          <wp:docPr id="24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Oxfam GB: A Quick Guide to Monitoring, Evaluation, Accountability and Learning in Fragile Contexts (no date)</w:t>
      </w:r>
    </w:p>
  </w:footnote>
  <w:footnote w:id="1">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Note that some participants may rightly observe that the terms ‘upward’ and ‘downward’ accountability employ a language of hierarchy that implies an associated importance which would be interrogated and rejected by many feminist approaches.</w:t>
      </w:r>
      <w:r w:rsidDel="00000000" w:rsidR="00000000" w:rsidRPr="00000000">
        <w:rPr>
          <w:rtl w:val="0"/>
        </w:rPr>
      </w:r>
    </w:p>
  </w:footnote>
  <w:footnote w:id="2">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Note that some participants may rightly observe that the terms ‘upward’ and ‘downward’ accountability employ a language of hierarchy that implies an associated importance which would be interrogated and rejected by many feminist approaches.</w:t>
      </w:r>
      <w:r w:rsidDel="00000000" w:rsidR="00000000" w:rsidRPr="00000000">
        <w:rPr>
          <w:rtl w:val="0"/>
        </w:rPr>
      </w:r>
    </w:p>
  </w:footnote>
  <w:footnote w:id="3">
    <w:p w:rsidR="00000000" w:rsidDel="00000000" w:rsidP="00000000" w:rsidRDefault="00000000" w:rsidRPr="00000000" w14:paraId="0000031B">
      <w:pPr>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hyperlink r:id="rId1">
        <w:r w:rsidDel="00000000" w:rsidR="00000000" w:rsidRPr="00000000">
          <w:rPr>
            <w:rFonts w:ascii="Calibri" w:cs="Calibri" w:eastAsia="Calibri" w:hAnsi="Calibri"/>
            <w:color w:val="0563c1"/>
            <w:sz w:val="20"/>
            <w:szCs w:val="20"/>
            <w:u w:val="single"/>
            <w:rtl w:val="0"/>
          </w:rPr>
          <w:t xml:space="preserve">https://www.equilo.io/gender-analysis</w:t>
        </w:r>
      </w:hyperlink>
      <w:r w:rsidDel="00000000" w:rsidR="00000000" w:rsidRPr="00000000">
        <w:rPr>
          <w:rFonts w:ascii="Calibri" w:cs="Calibri" w:eastAsia="Calibri" w:hAnsi="Calibri"/>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id="221" name="" title="Document Title"/>
              <a:graphic>
                <a:graphicData uri="http://schemas.microsoft.com/office/word/2010/wordprocessingShape">
                  <wps:wsp>
                    <wps:cNvSpPr/>
                    <wps:cNvPr id="5" name="Shape 5"/>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descr="Document Title" id="221" name="image10.png"/>
              <a:graphic>
                <a:graphicData uri="http://schemas.openxmlformats.org/drawingml/2006/picture">
                  <pic:pic>
                    <pic:nvPicPr>
                      <pic:cNvPr descr="Document Title" id="0" name="image10.png"/>
                      <pic:cNvPicPr preferRelativeResize="0"/>
                    </pic:nvPicPr>
                    <pic:blipFill>
                      <a:blip r:embed="rId1"/>
                      <a:srcRect/>
                      <a:stretch>
                        <a:fillRect/>
                      </a:stretch>
                    </pic:blipFill>
                    <pic:spPr>
                      <a:xfrm>
                        <a:off x="0" y="0"/>
                        <a:ext cx="634365" cy="790384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23752</wp:posOffset>
          </wp:positionH>
          <wp:positionV relativeFrom="paragraph">
            <wp:posOffset>-22062</wp:posOffset>
          </wp:positionV>
          <wp:extent cx="9501032" cy="273589"/>
          <wp:effectExtent b="0" l="0" r="0" t="0"/>
          <wp:wrapSquare wrapText="bothSides" distB="0" distT="0" distL="114300" distR="114300"/>
          <wp:docPr id="23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9501032" cy="27358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1080" w:hanging="360"/>
      </w:pPr>
      <w:rPr>
        <w:rFonts w:ascii="Noto Sans Symbols" w:cs="Noto Sans Symbols" w:eastAsia="Noto Sans Symbols" w:hAnsi="Noto Sans Symbols"/>
        <w:i w:val="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360" w:hanging="180"/>
      </w:pPr>
      <w:rPr/>
    </w:lvl>
    <w:lvl w:ilvl="3">
      <w:start w:val="1"/>
      <w:numFmt w:val="decimal"/>
      <w:lvlText w:val="%4."/>
      <w:lvlJc w:val="left"/>
      <w:pPr>
        <w:ind w:left="360" w:hanging="360"/>
      </w:pPr>
      <w:rPr/>
    </w:lvl>
    <w:lvl w:ilvl="4">
      <w:start w:val="1"/>
      <w:numFmt w:val="lowerLetter"/>
      <w:lvlText w:val="%5."/>
      <w:lvlJc w:val="left"/>
      <w:pPr>
        <w:ind w:left="1080" w:hanging="360"/>
      </w:pPr>
      <w:rPr/>
    </w:lvl>
    <w:lvl w:ilvl="5">
      <w:start w:val="1"/>
      <w:numFmt w:val="lowerRoman"/>
      <w:lvlText w:val="%6."/>
      <w:lvlJc w:val="right"/>
      <w:pPr>
        <w:ind w:left="1800" w:hanging="180"/>
      </w:pPr>
      <w:rPr/>
    </w:lvl>
    <w:lvl w:ilvl="6">
      <w:start w:val="1"/>
      <w:numFmt w:val="decimal"/>
      <w:lvlText w:val="%7."/>
      <w:lvlJc w:val="left"/>
      <w:pPr>
        <w:ind w:left="2520" w:hanging="360"/>
      </w:pPr>
      <w:rPr/>
    </w:lvl>
    <w:lvl w:ilvl="7">
      <w:start w:val="1"/>
      <w:numFmt w:val="lowerLetter"/>
      <w:lvlText w:val="%8."/>
      <w:lvlJc w:val="left"/>
      <w:pPr>
        <w:ind w:left="3240" w:hanging="360"/>
      </w:pPr>
      <w:rPr/>
    </w:lvl>
    <w:lvl w:ilvl="8">
      <w:start w:val="1"/>
      <w:numFmt w:val="lowerRoman"/>
      <w:lvlText w:val="%9."/>
      <w:lvlJc w:val="right"/>
      <w:pPr>
        <w:ind w:left="396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0"/>
      <w:numFmt w:val="bullet"/>
      <w:lvlText w:val="-"/>
      <w:lvlJc w:val="left"/>
      <w:pPr>
        <w:ind w:left="1440" w:hanging="360"/>
      </w:pPr>
      <w:rPr>
        <w:rFonts w:ascii="Calibri" w:cs="Calibri" w:eastAsia="Calibri" w:hAnsi="Calibri"/>
      </w:rPr>
    </w:lvl>
    <w:lvl w:ilvl="1">
      <w:start w:val="1"/>
      <w:numFmt w:val="bullet"/>
      <w:lvlText w:val="●"/>
      <w:lvlJc w:val="left"/>
      <w:pPr>
        <w:ind w:left="720" w:hanging="360"/>
      </w:pPr>
      <w:rPr>
        <w:rFonts w:ascii="Noto Sans Symbols" w:cs="Noto Sans Symbols" w:eastAsia="Noto Sans Symbols" w:hAnsi="Noto Sans Symbols"/>
        <w:color w:val="1f3864"/>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decimal"/>
      <w:lvlText w:val="%1."/>
      <w:lvlJc w:val="left"/>
      <w:pPr>
        <w:ind w:left="720" w:hanging="360"/>
      </w:pPr>
      <w:rPr/>
    </w:lvl>
    <w:lvl w:ilvl="1">
      <w:start w:val="1"/>
      <w:numFmt w:val="decimal"/>
      <w:lvlText w:val="%2."/>
      <w:lvlJc w:val="left"/>
      <w:pPr>
        <w:ind w:left="720" w:hanging="360"/>
      </w:pPr>
      <w:rPr/>
    </w:lvl>
    <w:lvl w:ilvl="2">
      <w:start w:val="1"/>
      <w:numFmt w:val="bullet"/>
      <w:lvlText w:val="●"/>
      <w:lvlJc w:val="left"/>
      <w:pPr>
        <w:ind w:left="720" w:hanging="36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Tahoma" w:cs="Tahoma" w:eastAsia="Tahoma" w:hAnsi="Tahoma"/>
      <w:b w:val="1"/>
      <w:color w:val="ffffff"/>
      <w:sz w:val="32"/>
      <w:szCs w:val="32"/>
    </w:rPr>
  </w:style>
  <w:style w:type="paragraph" w:styleId="Heading2">
    <w:name w:val="heading 2"/>
    <w:basedOn w:val="Normal"/>
    <w:next w:val="Normal"/>
    <w:pPr>
      <w:keepNext w:val="1"/>
      <w:keepLines w:val="1"/>
      <w:spacing w:before="40" w:lineRule="auto"/>
    </w:pPr>
    <w:rPr>
      <w:rFonts w:ascii="Tahoma" w:cs="Tahoma" w:eastAsia="Tahoma" w:hAnsi="Tahoma"/>
      <w:color w:val="993365"/>
      <w:sz w:val="36"/>
      <w:szCs w:val="36"/>
    </w:rPr>
  </w:style>
  <w:style w:type="paragraph" w:styleId="Heading3">
    <w:name w:val="heading 3"/>
    <w:basedOn w:val="Normal"/>
    <w:next w:val="Normal"/>
    <w:pPr>
      <w:keepNext w:val="1"/>
      <w:keepLines w:val="1"/>
      <w:spacing w:before="40" w:lineRule="auto"/>
    </w:pPr>
    <w:rPr>
      <w:rFonts w:ascii="Tahoma" w:cs="Tahoma" w:eastAsia="Tahoma" w:hAnsi="Tahoma"/>
      <w:b w:val="1"/>
      <w:color w:val="3a4888"/>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50F14"/>
    <w:rPr>
      <w:rFonts w:ascii="Times New Roman" w:cs="Times New Roman" w:eastAsia="Times New Roman" w:hAnsi="Times New Roman"/>
    </w:rPr>
  </w:style>
  <w:style w:type="paragraph" w:styleId="Heading1">
    <w:name w:val="heading 1"/>
    <w:basedOn w:val="Normal"/>
    <w:next w:val="Normal"/>
    <w:link w:val="Heading1Char"/>
    <w:uiPriority w:val="9"/>
    <w:qFormat w:val="1"/>
    <w:rsid w:val="00374A3C"/>
    <w:pPr>
      <w:keepNext w:val="1"/>
      <w:keepLines w:val="1"/>
      <w:spacing w:before="240"/>
      <w:jc w:val="center"/>
      <w:outlineLvl w:val="0"/>
    </w:pPr>
    <w:rPr>
      <w:rFonts w:ascii="Tahoma" w:hAnsi="Tahoma" w:cstheme="majorBidi" w:eastAsiaTheme="majorEastAsia"/>
      <w:b w:val="1"/>
      <w:color w:val="ffffff" w:themeColor="background1"/>
      <w:sz w:val="32"/>
      <w:szCs w:val="32"/>
    </w:rPr>
  </w:style>
  <w:style w:type="paragraph" w:styleId="Heading2">
    <w:name w:val="heading 2"/>
    <w:basedOn w:val="Normal"/>
    <w:next w:val="Normal"/>
    <w:link w:val="Heading2Char"/>
    <w:uiPriority w:val="9"/>
    <w:unhideWhenUsed w:val="1"/>
    <w:qFormat w:val="1"/>
    <w:rsid w:val="00374A3C"/>
    <w:pPr>
      <w:keepNext w:val="1"/>
      <w:keepLines w:val="1"/>
      <w:spacing w:before="40"/>
      <w:outlineLvl w:val="1"/>
    </w:pPr>
    <w:rPr>
      <w:rFonts w:ascii="Tahoma" w:hAnsi="Tahoma" w:cstheme="majorBidi" w:eastAsiaTheme="majorEastAsia"/>
      <w:bCs w:val="1"/>
      <w:color w:val="993365"/>
      <w:sz w:val="36"/>
      <w:szCs w:val="36"/>
    </w:rPr>
  </w:style>
  <w:style w:type="paragraph" w:styleId="Heading3">
    <w:name w:val="heading 3"/>
    <w:basedOn w:val="Normal"/>
    <w:next w:val="Normal"/>
    <w:link w:val="Heading3Char"/>
    <w:uiPriority w:val="9"/>
    <w:unhideWhenUsed w:val="1"/>
    <w:qFormat w:val="1"/>
    <w:rsid w:val="00374A3C"/>
    <w:pPr>
      <w:keepNext w:val="1"/>
      <w:keepLines w:val="1"/>
      <w:spacing w:before="40"/>
      <w:outlineLvl w:val="2"/>
    </w:pPr>
    <w:rPr>
      <w:rFonts w:ascii="Tahoma" w:hAnsi="Tahoma" w:cstheme="majorBidi" w:eastAsiaTheme="majorEastAsia"/>
      <w:b w:val="1"/>
      <w:color w:val="3a4888"/>
      <w:sz w:val="28"/>
      <w:szCs w:val="28"/>
    </w:rPr>
  </w:style>
  <w:style w:type="paragraph" w:styleId="Heading4">
    <w:name w:val="heading 4"/>
    <w:basedOn w:val="Normal"/>
    <w:next w:val="Normal"/>
    <w:link w:val="Heading4Char"/>
    <w:uiPriority w:val="9"/>
    <w:semiHidden w:val="1"/>
    <w:unhideWhenUsed w:val="1"/>
    <w:qFormat w:val="1"/>
    <w:rsid w:val="000504A9"/>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74A3C"/>
    <w:rPr>
      <w:rFonts w:ascii="Tahoma" w:hAnsi="Tahoma" w:cstheme="majorBidi" w:eastAsiaTheme="majorEastAsia"/>
      <w:b w:val="1"/>
      <w:color w:val="ffffff" w:themeColor="background1"/>
      <w:sz w:val="32"/>
      <w:szCs w:val="32"/>
    </w:rPr>
  </w:style>
  <w:style w:type="paragraph" w:styleId="TOCHeading">
    <w:name w:val="TOC Heading"/>
    <w:basedOn w:val="Heading1"/>
    <w:next w:val="Normal"/>
    <w:uiPriority w:val="39"/>
    <w:unhideWhenUsed w:val="1"/>
    <w:qFormat w:val="1"/>
    <w:rsid w:val="00681CD8"/>
    <w:pPr>
      <w:spacing w:before="480" w:line="276" w:lineRule="auto"/>
      <w:outlineLvl w:val="9"/>
    </w:pPr>
    <w:rPr>
      <w:b w:val="0"/>
      <w:bCs w:val="1"/>
      <w:szCs w:val="28"/>
      <w:lang w:val="en-US"/>
    </w:rPr>
  </w:style>
  <w:style w:type="paragraph" w:styleId="TOC1">
    <w:name w:val="toc 1"/>
    <w:basedOn w:val="Normal"/>
    <w:next w:val="Normal"/>
    <w:autoRedefine w:val="1"/>
    <w:uiPriority w:val="39"/>
    <w:unhideWhenUsed w:val="1"/>
    <w:rsid w:val="00B77DB2"/>
    <w:pPr>
      <w:tabs>
        <w:tab w:val="right" w:pos="12950"/>
      </w:tabs>
      <w:spacing w:after="120" w:before="240"/>
    </w:pPr>
    <w:rPr>
      <w:rFonts w:ascii="Tahoma" w:hAnsi="Tahoma"/>
      <w:b w:val="1"/>
      <w:bCs w:val="1"/>
      <w:i w:val="1"/>
      <w:iCs w:val="1"/>
      <w:noProof w:val="1"/>
      <w:color w:val="63763e"/>
      <w:sz w:val="22"/>
      <w:szCs w:val="22"/>
    </w:rPr>
  </w:style>
  <w:style w:type="paragraph" w:styleId="TOC2">
    <w:name w:val="toc 2"/>
    <w:basedOn w:val="Normal"/>
    <w:next w:val="Normal"/>
    <w:autoRedefine w:val="1"/>
    <w:uiPriority w:val="39"/>
    <w:unhideWhenUsed w:val="1"/>
    <w:rsid w:val="00B77DB2"/>
    <w:pPr>
      <w:tabs>
        <w:tab w:val="right" w:pos="12950"/>
      </w:tabs>
      <w:spacing w:before="120"/>
      <w:ind w:left="240"/>
    </w:pPr>
    <w:rPr>
      <w:rFonts w:ascii="Tahoma" w:hAnsi="Tahoma"/>
      <w:b w:val="1"/>
      <w:bCs w:val="1"/>
      <w:noProof w:val="1"/>
      <w:color w:val="3a4888"/>
      <w:sz w:val="20"/>
      <w:szCs w:val="20"/>
      <w:lang w:val="en-US"/>
    </w:rPr>
  </w:style>
  <w:style w:type="paragraph" w:styleId="TOC3">
    <w:name w:val="toc 3"/>
    <w:basedOn w:val="Normal"/>
    <w:next w:val="Normal"/>
    <w:autoRedefine w:val="1"/>
    <w:uiPriority w:val="39"/>
    <w:unhideWhenUsed w:val="1"/>
    <w:rsid w:val="00681CD8"/>
    <w:pPr>
      <w:ind w:left="480"/>
    </w:pPr>
    <w:rPr>
      <w:rFonts w:asciiTheme="minorHAnsi" w:hAnsiTheme="minorHAnsi"/>
      <w:sz w:val="20"/>
      <w:szCs w:val="20"/>
    </w:rPr>
  </w:style>
  <w:style w:type="paragraph" w:styleId="TOC4">
    <w:name w:val="toc 4"/>
    <w:basedOn w:val="Normal"/>
    <w:next w:val="Normal"/>
    <w:autoRedefine w:val="1"/>
    <w:uiPriority w:val="39"/>
    <w:unhideWhenUsed w:val="1"/>
    <w:rsid w:val="00681CD8"/>
    <w:pPr>
      <w:ind w:left="720"/>
    </w:pPr>
    <w:rPr>
      <w:rFonts w:asciiTheme="minorHAnsi" w:hAnsiTheme="minorHAnsi"/>
      <w:sz w:val="20"/>
      <w:szCs w:val="20"/>
    </w:rPr>
  </w:style>
  <w:style w:type="paragraph" w:styleId="TOC5">
    <w:name w:val="toc 5"/>
    <w:basedOn w:val="Normal"/>
    <w:next w:val="Normal"/>
    <w:autoRedefine w:val="1"/>
    <w:uiPriority w:val="39"/>
    <w:unhideWhenUsed w:val="1"/>
    <w:rsid w:val="00681CD8"/>
    <w:pPr>
      <w:ind w:left="960"/>
    </w:pPr>
    <w:rPr>
      <w:rFonts w:asciiTheme="minorHAnsi" w:hAnsiTheme="minorHAnsi"/>
      <w:sz w:val="20"/>
      <w:szCs w:val="20"/>
    </w:rPr>
  </w:style>
  <w:style w:type="paragraph" w:styleId="TOC6">
    <w:name w:val="toc 6"/>
    <w:basedOn w:val="Normal"/>
    <w:next w:val="Normal"/>
    <w:autoRedefine w:val="1"/>
    <w:uiPriority w:val="39"/>
    <w:unhideWhenUsed w:val="1"/>
    <w:rsid w:val="00681CD8"/>
    <w:pPr>
      <w:ind w:left="1200"/>
    </w:pPr>
    <w:rPr>
      <w:rFonts w:asciiTheme="minorHAnsi" w:hAnsiTheme="minorHAnsi"/>
      <w:sz w:val="20"/>
      <w:szCs w:val="20"/>
    </w:rPr>
  </w:style>
  <w:style w:type="paragraph" w:styleId="TOC7">
    <w:name w:val="toc 7"/>
    <w:basedOn w:val="Normal"/>
    <w:next w:val="Normal"/>
    <w:autoRedefine w:val="1"/>
    <w:uiPriority w:val="39"/>
    <w:unhideWhenUsed w:val="1"/>
    <w:rsid w:val="00681CD8"/>
    <w:pPr>
      <w:ind w:left="1440"/>
    </w:pPr>
    <w:rPr>
      <w:rFonts w:asciiTheme="minorHAnsi" w:hAnsiTheme="minorHAnsi"/>
      <w:sz w:val="20"/>
      <w:szCs w:val="20"/>
    </w:rPr>
  </w:style>
  <w:style w:type="paragraph" w:styleId="TOC8">
    <w:name w:val="toc 8"/>
    <w:basedOn w:val="Normal"/>
    <w:next w:val="Normal"/>
    <w:autoRedefine w:val="1"/>
    <w:uiPriority w:val="39"/>
    <w:unhideWhenUsed w:val="1"/>
    <w:rsid w:val="00681CD8"/>
    <w:pPr>
      <w:ind w:left="1680"/>
    </w:pPr>
    <w:rPr>
      <w:rFonts w:asciiTheme="minorHAnsi" w:hAnsiTheme="minorHAnsi"/>
      <w:sz w:val="20"/>
      <w:szCs w:val="20"/>
    </w:rPr>
  </w:style>
  <w:style w:type="paragraph" w:styleId="TOC9">
    <w:name w:val="toc 9"/>
    <w:basedOn w:val="Normal"/>
    <w:next w:val="Normal"/>
    <w:autoRedefine w:val="1"/>
    <w:uiPriority w:val="39"/>
    <w:unhideWhenUsed w:val="1"/>
    <w:rsid w:val="00681CD8"/>
    <w:pPr>
      <w:ind w:left="1920"/>
    </w:pPr>
    <w:rPr>
      <w:rFonts w:asciiTheme="minorHAnsi" w:hAnsiTheme="minorHAnsi"/>
      <w:sz w:val="20"/>
      <w:szCs w:val="20"/>
    </w:rPr>
  </w:style>
  <w:style w:type="paragraph" w:styleId="BalloonText">
    <w:name w:val="Balloon Text"/>
    <w:basedOn w:val="Normal"/>
    <w:link w:val="BalloonTextChar"/>
    <w:uiPriority w:val="99"/>
    <w:semiHidden w:val="1"/>
    <w:unhideWhenUsed w:val="1"/>
    <w:rsid w:val="00607310"/>
    <w:rPr>
      <w:rFonts w:eastAsiaTheme="minorHAnsi"/>
      <w:sz w:val="18"/>
      <w:szCs w:val="18"/>
    </w:rPr>
  </w:style>
  <w:style w:type="character" w:styleId="BalloonTextChar" w:customStyle="1">
    <w:name w:val="Balloon Text Char"/>
    <w:basedOn w:val="DefaultParagraphFont"/>
    <w:link w:val="BalloonText"/>
    <w:uiPriority w:val="99"/>
    <w:semiHidden w:val="1"/>
    <w:rsid w:val="00607310"/>
    <w:rPr>
      <w:rFonts w:ascii="Times New Roman" w:cs="Times New Roman" w:hAnsi="Times New Roman"/>
      <w:sz w:val="18"/>
      <w:szCs w:val="18"/>
    </w:rPr>
  </w:style>
  <w:style w:type="paragraph" w:styleId="ListParagraph">
    <w:name w:val="List Paragraph"/>
    <w:basedOn w:val="Normal"/>
    <w:uiPriority w:val="34"/>
    <w:qFormat w:val="1"/>
    <w:rsid w:val="00607310"/>
    <w:pPr>
      <w:ind w:left="720"/>
      <w:contextualSpacing w:val="1"/>
    </w:pPr>
    <w:rPr>
      <w:rFonts w:asciiTheme="minorHAnsi" w:cstheme="minorBidi" w:eastAsiaTheme="minorHAnsi" w:hAnsiTheme="minorHAnsi"/>
    </w:rPr>
  </w:style>
  <w:style w:type="character" w:styleId="Heading2Char" w:customStyle="1">
    <w:name w:val="Heading 2 Char"/>
    <w:basedOn w:val="DefaultParagraphFont"/>
    <w:link w:val="Heading2"/>
    <w:uiPriority w:val="9"/>
    <w:rsid w:val="00374A3C"/>
    <w:rPr>
      <w:rFonts w:ascii="Tahoma" w:hAnsi="Tahoma" w:cstheme="majorBidi" w:eastAsiaTheme="majorEastAsia"/>
      <w:bCs w:val="1"/>
      <w:color w:val="993365"/>
      <w:sz w:val="36"/>
      <w:szCs w:val="36"/>
    </w:rPr>
  </w:style>
  <w:style w:type="character" w:styleId="Heading3Char" w:customStyle="1">
    <w:name w:val="Heading 3 Char"/>
    <w:basedOn w:val="DefaultParagraphFont"/>
    <w:link w:val="Heading3"/>
    <w:uiPriority w:val="9"/>
    <w:rsid w:val="00374A3C"/>
    <w:rPr>
      <w:rFonts w:ascii="Tahoma" w:hAnsi="Tahoma" w:cstheme="majorBidi" w:eastAsiaTheme="majorEastAsia"/>
      <w:b w:val="1"/>
      <w:color w:val="3a4888"/>
      <w:sz w:val="28"/>
      <w:szCs w:val="28"/>
    </w:rPr>
  </w:style>
  <w:style w:type="table" w:styleId="TableGrid">
    <w:name w:val="Table Grid"/>
    <w:basedOn w:val="TableNormal"/>
    <w:uiPriority w:val="39"/>
    <w:rsid w:val="006920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unhideWhenUsed w:val="1"/>
    <w:rsid w:val="00166954"/>
    <w:rPr>
      <w:rFonts w:asciiTheme="minorHAnsi" w:cstheme="minorBidi" w:eastAsiaTheme="minorHAnsi" w:hAnsiTheme="minorHAnsi"/>
      <w:sz w:val="20"/>
      <w:szCs w:val="20"/>
    </w:rPr>
  </w:style>
  <w:style w:type="character" w:styleId="FootnoteTextChar" w:customStyle="1">
    <w:name w:val="Footnote Text Char"/>
    <w:basedOn w:val="DefaultParagraphFont"/>
    <w:link w:val="FootnoteText"/>
    <w:uiPriority w:val="99"/>
    <w:rsid w:val="00166954"/>
    <w:rPr>
      <w:sz w:val="20"/>
      <w:szCs w:val="20"/>
    </w:rPr>
  </w:style>
  <w:style w:type="character" w:styleId="FootnoteReference">
    <w:name w:val="footnote reference"/>
    <w:basedOn w:val="DefaultParagraphFont"/>
    <w:uiPriority w:val="99"/>
    <w:semiHidden w:val="1"/>
    <w:unhideWhenUsed w:val="1"/>
    <w:rsid w:val="00166954"/>
    <w:rPr>
      <w:vertAlign w:val="superscript"/>
    </w:rPr>
  </w:style>
  <w:style w:type="character" w:styleId="Hyperlink">
    <w:name w:val="Hyperlink"/>
    <w:basedOn w:val="DefaultParagraphFont"/>
    <w:uiPriority w:val="99"/>
    <w:unhideWhenUsed w:val="1"/>
    <w:rsid w:val="00166954"/>
    <w:rPr>
      <w:color w:val="0563c1" w:themeColor="hyperlink"/>
      <w:u w:val="single"/>
    </w:rPr>
  </w:style>
  <w:style w:type="paragraph" w:styleId="NoSpacing">
    <w:name w:val="No Spacing"/>
    <w:uiPriority w:val="1"/>
    <w:qFormat w:val="1"/>
    <w:rsid w:val="00F53D0D"/>
  </w:style>
  <w:style w:type="character" w:styleId="CommentReference">
    <w:name w:val="annotation reference"/>
    <w:basedOn w:val="DefaultParagraphFont"/>
    <w:uiPriority w:val="99"/>
    <w:semiHidden w:val="1"/>
    <w:unhideWhenUsed w:val="1"/>
    <w:rsid w:val="00B2712B"/>
    <w:rPr>
      <w:sz w:val="16"/>
      <w:szCs w:val="16"/>
    </w:rPr>
  </w:style>
  <w:style w:type="paragraph" w:styleId="CommentText">
    <w:name w:val="annotation text"/>
    <w:basedOn w:val="Normal"/>
    <w:link w:val="CommentTextChar"/>
    <w:uiPriority w:val="99"/>
    <w:semiHidden w:val="1"/>
    <w:unhideWhenUsed w:val="1"/>
    <w:rsid w:val="00B2712B"/>
    <w:rPr>
      <w:rFonts w:asciiTheme="minorHAnsi" w:cstheme="minorBidi" w:eastAsiaTheme="minorHAnsi" w:hAnsiTheme="minorHAnsi"/>
      <w:sz w:val="20"/>
      <w:szCs w:val="20"/>
    </w:rPr>
  </w:style>
  <w:style w:type="character" w:styleId="CommentTextChar" w:customStyle="1">
    <w:name w:val="Comment Text Char"/>
    <w:basedOn w:val="DefaultParagraphFont"/>
    <w:link w:val="CommentText"/>
    <w:uiPriority w:val="99"/>
    <w:semiHidden w:val="1"/>
    <w:rsid w:val="00B2712B"/>
    <w:rPr>
      <w:sz w:val="20"/>
      <w:szCs w:val="20"/>
    </w:rPr>
  </w:style>
  <w:style w:type="paragraph" w:styleId="CommentSubject">
    <w:name w:val="annotation subject"/>
    <w:basedOn w:val="CommentText"/>
    <w:next w:val="CommentText"/>
    <w:link w:val="CommentSubjectChar"/>
    <w:uiPriority w:val="99"/>
    <w:semiHidden w:val="1"/>
    <w:unhideWhenUsed w:val="1"/>
    <w:rsid w:val="00B2712B"/>
    <w:rPr>
      <w:b w:val="1"/>
      <w:bCs w:val="1"/>
    </w:rPr>
  </w:style>
  <w:style w:type="character" w:styleId="CommentSubjectChar" w:customStyle="1">
    <w:name w:val="Comment Subject Char"/>
    <w:basedOn w:val="CommentTextChar"/>
    <w:link w:val="CommentSubject"/>
    <w:uiPriority w:val="99"/>
    <w:semiHidden w:val="1"/>
    <w:rsid w:val="00B2712B"/>
    <w:rPr>
      <w:b w:val="1"/>
      <w:bCs w:val="1"/>
      <w:sz w:val="20"/>
      <w:szCs w:val="20"/>
    </w:rPr>
  </w:style>
  <w:style w:type="paragraph" w:styleId="Footer">
    <w:name w:val="footer"/>
    <w:basedOn w:val="Normal"/>
    <w:link w:val="FooterChar"/>
    <w:uiPriority w:val="99"/>
    <w:unhideWhenUsed w:val="1"/>
    <w:rsid w:val="00DC1834"/>
    <w:pPr>
      <w:tabs>
        <w:tab w:val="center" w:pos="4680"/>
        <w:tab w:val="right" w:pos="9360"/>
      </w:tabs>
    </w:pPr>
    <w:rPr>
      <w:rFonts w:asciiTheme="minorHAnsi" w:cstheme="minorBidi" w:eastAsiaTheme="minorHAnsi" w:hAnsiTheme="minorHAnsi"/>
    </w:rPr>
  </w:style>
  <w:style w:type="character" w:styleId="FooterChar" w:customStyle="1">
    <w:name w:val="Footer Char"/>
    <w:basedOn w:val="DefaultParagraphFont"/>
    <w:link w:val="Footer"/>
    <w:uiPriority w:val="99"/>
    <w:rsid w:val="00DC1834"/>
  </w:style>
  <w:style w:type="character" w:styleId="PageNumber">
    <w:name w:val="page number"/>
    <w:basedOn w:val="DefaultParagraphFont"/>
    <w:uiPriority w:val="99"/>
    <w:semiHidden w:val="1"/>
    <w:unhideWhenUsed w:val="1"/>
    <w:rsid w:val="00DC1834"/>
  </w:style>
  <w:style w:type="character" w:styleId="UnresolvedMention">
    <w:name w:val="Unresolved Mention"/>
    <w:basedOn w:val="DefaultParagraphFont"/>
    <w:uiPriority w:val="99"/>
    <w:semiHidden w:val="1"/>
    <w:unhideWhenUsed w:val="1"/>
    <w:rsid w:val="009E6F3F"/>
    <w:rPr>
      <w:color w:val="605e5c"/>
      <w:shd w:color="auto" w:fill="e1dfdd" w:val="clear"/>
    </w:rPr>
  </w:style>
  <w:style w:type="paragraph" w:styleId="paragraph" w:customStyle="1">
    <w:name w:val="paragraph"/>
    <w:basedOn w:val="Normal"/>
    <w:rsid w:val="0098629E"/>
    <w:pPr>
      <w:spacing w:after="100" w:afterAutospacing="1" w:before="100" w:beforeAutospacing="1"/>
    </w:pPr>
  </w:style>
  <w:style w:type="character" w:styleId="normaltextrun" w:customStyle="1">
    <w:name w:val="normaltextrun"/>
    <w:basedOn w:val="DefaultParagraphFont"/>
    <w:rsid w:val="0098629E"/>
  </w:style>
  <w:style w:type="character" w:styleId="apple-converted-space" w:customStyle="1">
    <w:name w:val="apple-converted-space"/>
    <w:basedOn w:val="DefaultParagraphFont"/>
    <w:rsid w:val="0098629E"/>
  </w:style>
  <w:style w:type="character" w:styleId="eop" w:customStyle="1">
    <w:name w:val="eop"/>
    <w:basedOn w:val="DefaultParagraphFont"/>
    <w:rsid w:val="0098629E"/>
  </w:style>
  <w:style w:type="paragraph" w:styleId="EndnoteText">
    <w:name w:val="endnote text"/>
    <w:basedOn w:val="Normal"/>
    <w:link w:val="EndnoteTextChar"/>
    <w:uiPriority w:val="99"/>
    <w:semiHidden w:val="1"/>
    <w:unhideWhenUsed w:val="1"/>
    <w:rsid w:val="001F2A7A"/>
    <w:rPr>
      <w:sz w:val="20"/>
      <w:szCs w:val="20"/>
    </w:rPr>
  </w:style>
  <w:style w:type="character" w:styleId="EndnoteTextChar" w:customStyle="1">
    <w:name w:val="Endnote Text Char"/>
    <w:basedOn w:val="DefaultParagraphFont"/>
    <w:link w:val="EndnoteText"/>
    <w:uiPriority w:val="99"/>
    <w:semiHidden w:val="1"/>
    <w:rsid w:val="001F2A7A"/>
    <w:rPr>
      <w:rFonts w:ascii="Times New Roman" w:cs="Times New Roman" w:eastAsia="Times New Roman" w:hAnsi="Times New Roman"/>
      <w:sz w:val="20"/>
      <w:szCs w:val="20"/>
    </w:rPr>
  </w:style>
  <w:style w:type="character" w:styleId="EndnoteReference">
    <w:name w:val="endnote reference"/>
    <w:basedOn w:val="DefaultParagraphFont"/>
    <w:uiPriority w:val="99"/>
    <w:semiHidden w:val="1"/>
    <w:unhideWhenUsed w:val="1"/>
    <w:rsid w:val="001F2A7A"/>
    <w:rPr>
      <w:vertAlign w:val="superscript"/>
    </w:rPr>
  </w:style>
  <w:style w:type="character" w:styleId="FollowedHyperlink">
    <w:name w:val="FollowedHyperlink"/>
    <w:basedOn w:val="DefaultParagraphFont"/>
    <w:uiPriority w:val="99"/>
    <w:semiHidden w:val="1"/>
    <w:unhideWhenUsed w:val="1"/>
    <w:rsid w:val="001F2A7A"/>
    <w:rPr>
      <w:color w:val="954f72" w:themeColor="followedHyperlink"/>
      <w:u w:val="single"/>
    </w:rPr>
  </w:style>
  <w:style w:type="paragraph" w:styleId="Revision">
    <w:name w:val="Revision"/>
    <w:hidden w:val="1"/>
    <w:uiPriority w:val="99"/>
    <w:semiHidden w:val="1"/>
    <w:rsid w:val="00244448"/>
    <w:rPr>
      <w:rFonts w:ascii="Times New Roman" w:cs="Times New Roman" w:eastAsia="Times New Roman" w:hAnsi="Times New Roman"/>
    </w:rPr>
  </w:style>
  <w:style w:type="paragraph" w:styleId="Default" w:customStyle="1">
    <w:name w:val="Default"/>
    <w:rsid w:val="00B86261"/>
    <w:pPr>
      <w:autoSpaceDE w:val="0"/>
      <w:autoSpaceDN w:val="0"/>
      <w:adjustRightInd w:val="0"/>
    </w:pPr>
    <w:rPr>
      <w:rFonts w:ascii="Calibri" w:cs="Calibri" w:hAnsi="Calibri"/>
      <w:color w:val="000000"/>
    </w:rPr>
  </w:style>
  <w:style w:type="paragraph" w:styleId="NormalWeb">
    <w:name w:val="Normal (Web)"/>
    <w:basedOn w:val="Normal"/>
    <w:uiPriority w:val="99"/>
    <w:semiHidden w:val="1"/>
    <w:unhideWhenUsed w:val="1"/>
    <w:rsid w:val="0018759C"/>
    <w:pPr>
      <w:spacing w:after="100" w:afterAutospacing="1" w:before="100" w:beforeAutospacing="1"/>
    </w:pPr>
  </w:style>
  <w:style w:type="paragraph" w:styleId="Header">
    <w:name w:val="header"/>
    <w:basedOn w:val="Normal"/>
    <w:link w:val="HeaderChar"/>
    <w:uiPriority w:val="99"/>
    <w:unhideWhenUsed w:val="1"/>
    <w:rsid w:val="00374A3C"/>
    <w:pPr>
      <w:tabs>
        <w:tab w:val="center" w:pos="4680"/>
        <w:tab w:val="right" w:pos="9360"/>
      </w:tabs>
    </w:pPr>
  </w:style>
  <w:style w:type="character" w:styleId="HeaderChar" w:customStyle="1">
    <w:name w:val="Header Char"/>
    <w:basedOn w:val="DefaultParagraphFont"/>
    <w:link w:val="Header"/>
    <w:uiPriority w:val="99"/>
    <w:rsid w:val="00374A3C"/>
    <w:rPr>
      <w:rFonts w:ascii="Times New Roman" w:cs="Times New Roman" w:eastAsia="Times New Roman" w:hAnsi="Times New Roman"/>
    </w:rPr>
  </w:style>
  <w:style w:type="character" w:styleId="Heading4Char" w:customStyle="1">
    <w:name w:val="Heading 4 Char"/>
    <w:basedOn w:val="DefaultParagraphFont"/>
    <w:link w:val="Heading4"/>
    <w:uiPriority w:val="9"/>
    <w:semiHidden w:val="1"/>
    <w:rsid w:val="000504A9"/>
    <w:rPr>
      <w:rFonts w:asciiTheme="majorHAnsi" w:cstheme="majorBidi" w:eastAsiaTheme="majorEastAsia" w:hAnsiTheme="majorHAnsi"/>
      <w:i w:val="1"/>
      <w:iCs w:val="1"/>
      <w:color w:val="2f5496"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18.pn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1.png"/><Relationship Id="rId21" Type="http://schemas.openxmlformats.org/officeDocument/2006/relationships/image" Target="media/image23.png"/><Relationship Id="rId43" Type="http://schemas.openxmlformats.org/officeDocument/2006/relationships/footer" Target="footer2.xml"/><Relationship Id="rId24" Type="http://schemas.openxmlformats.org/officeDocument/2006/relationships/image" Target="media/image9.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26" Type="http://schemas.openxmlformats.org/officeDocument/2006/relationships/hyperlink" Target="https://cfc-swc.gc.ca/gba-acs/index-en.html" TargetMode="External"/><Relationship Id="rId25" Type="http://schemas.openxmlformats.org/officeDocument/2006/relationships/image" Target="media/image21.png"/><Relationship Id="rId28" Type="http://schemas.openxmlformats.org/officeDocument/2006/relationships/image" Target="media/image14.png"/><Relationship Id="rId27" Type="http://schemas.openxmlformats.org/officeDocument/2006/relationships/image" Target="media/image1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equilo.io/gender-analysis" TargetMode="Externa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image" Target="media/image19.png"/><Relationship Id="rId30" Type="http://schemas.openxmlformats.org/officeDocument/2006/relationships/image" Target="media/image7.png"/><Relationship Id="rId11" Type="http://schemas.openxmlformats.org/officeDocument/2006/relationships/image" Target="media/image13.png"/><Relationship Id="rId33" Type="http://schemas.openxmlformats.org/officeDocument/2006/relationships/hyperlink" Target="https://resourcecentre.savethechildren.net/sites/default/files/documents/genderequalitytoolkit_es_20final.pdf" TargetMode="External"/><Relationship Id="rId10" Type="http://schemas.openxmlformats.org/officeDocument/2006/relationships/image" Target="media/image22.png"/><Relationship Id="rId32" Type="http://schemas.openxmlformats.org/officeDocument/2006/relationships/image" Target="media/image16.png"/><Relationship Id="rId13" Type="http://schemas.openxmlformats.org/officeDocument/2006/relationships/hyperlink" Target="https://oxfamilibrary.openrepository.com/bitstream/handle/10546/620318/dp-feminist-principles-meal-260717-en.pdf?sequence=4" TargetMode="External"/><Relationship Id="rId35" Type="http://schemas.openxmlformats.org/officeDocument/2006/relationships/hyperlink" Target="https://www.international.gc.ca/world-monde/funding-financement/gender_analysis-analyse_comparative.aspx?lang=eng" TargetMode="External"/><Relationship Id="rId12" Type="http://schemas.openxmlformats.org/officeDocument/2006/relationships/image" Target="media/image20.png"/><Relationship Id="rId34" Type="http://schemas.openxmlformats.org/officeDocument/2006/relationships/hyperlink" Target="https://ringsgenderresearch.org/wp-content/uploads/2018/07/Ten-Gender-Analysis-Frameworks-and-Tools-to-Aid-with-HSR.pdf" TargetMode="External"/><Relationship Id="rId15" Type="http://schemas.openxmlformats.org/officeDocument/2006/relationships/image" Target="media/image8.png"/><Relationship Id="rId37" Type="http://schemas.openxmlformats.org/officeDocument/2006/relationships/hyperlink" Target="https://www.ndi.org/sites/default/files/Guide%20to%20Gender%20Analysis%20Frameworks.pdf" TargetMode="External"/><Relationship Id="rId14" Type="http://schemas.openxmlformats.org/officeDocument/2006/relationships/image" Target="media/image2.png"/><Relationship Id="rId36" Type="http://schemas.openxmlformats.org/officeDocument/2006/relationships/hyperlink" Target="https://gender.jhpiego.org/analysistoolkit/gender-analysis-framework/" TargetMode="External"/><Relationship Id="rId17" Type="http://schemas.openxmlformats.org/officeDocument/2006/relationships/image" Target="media/image24.png"/><Relationship Id="rId39" Type="http://schemas.openxmlformats.org/officeDocument/2006/relationships/hyperlink" Target="https://agriprofocus.com/upload/CASCAPE_Manual_Gender_Analysis_Tools_FINAL1456840468.pdf" TargetMode="External"/><Relationship Id="rId16" Type="http://schemas.openxmlformats.org/officeDocument/2006/relationships/hyperlink" Target="https://www.international.gc.ca/world-monde/assets/pdfs/funding-financement/results_based_management-gestion_axee_resultats-guide-en.pdf" TargetMode="External"/><Relationship Id="rId38" Type="http://schemas.openxmlformats.org/officeDocument/2006/relationships/hyperlink" Target="https://www.equilo.io/gender-analysis" TargetMode="External"/><Relationship Id="rId19" Type="http://schemas.openxmlformats.org/officeDocument/2006/relationships/image" Target="media/image12.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equilo.io/gender-analy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69qqm2+NTz4p4BHEpht3Kj0zcA==">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2020-12-10T15:12:00Z</dcterms:created>
  <dc:creator>Erica Fotheringham</dc:creator>
</cp:coreProperties>
</file>